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auto" w:before="240" w:after="240"/>
        <w:jc w:val="center"/>
      </w:pPr>
      <w:r>
        <w:rPr>
          <w:rFonts w:ascii="宋体" w:hAnsi="宋体" w:eastAsia="宋体"/>
          <w:b/>
          <w:sz w:val="36"/>
        </w:rPr>
        <w:t>计算机软件著作权登记</w:t>
      </w:r>
    </w:p>
    <w:p>
      <w:pPr>
        <w:spacing w:line="360" w:lineRule="auto" w:before="240" w:after="240"/>
        <w:jc w:val="center"/>
      </w:pPr>
      <w:r>
        <w:rPr>
          <w:rFonts w:ascii="宋体" w:hAnsi="宋体" w:eastAsia="宋体"/>
          <w:b/>
          <w:sz w:val="36"/>
        </w:rPr>
        <w:t>说明书</w:t>
      </w:r>
    </w:p>
    <w:p/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软件全称：</w:t>
      </w:r>
      <w:r>
        <w:rPr>
          <w:rFonts w:ascii="宋体" w:hAnsi="宋体" w:eastAsia="宋体"/>
          <w:b w:val="0"/>
          <w:sz w:val="28"/>
        </w:rPr>
        <w:t>QuantInsight Pro AI驱动另类数据量化投研平台</w:t>
      </w:r>
    </w:p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软件简称：</w:t>
      </w:r>
      <w:r>
        <w:rPr>
          <w:rFonts w:ascii="宋体" w:hAnsi="宋体" w:eastAsia="宋体"/>
          <w:b w:val="0"/>
          <w:sz w:val="28"/>
        </w:rPr>
        <w:t>QuantInsight Pro</w:t>
      </w:r>
    </w:p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版本号：</w:t>
      </w:r>
      <w:r>
        <w:rPr>
          <w:rFonts w:ascii="宋体" w:hAnsi="宋体" w:eastAsia="宋体"/>
          <w:b w:val="0"/>
          <w:sz w:val="28"/>
        </w:rPr>
        <w:t>V1.0</w:t>
      </w:r>
    </w:p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著作权人：</w:t>
      </w:r>
      <w:r>
        <w:rPr>
          <w:rFonts w:ascii="宋体" w:hAnsi="宋体" w:eastAsia="宋体"/>
          <w:b w:val="0"/>
          <w:sz w:val="28"/>
        </w:rPr>
        <w:t>上海慧点智能科技有限公司</w:t>
      </w:r>
    </w:p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开发完成日期：</w:t>
      </w:r>
      <w:r>
        <w:rPr>
          <w:rFonts w:ascii="宋体" w:hAnsi="宋体" w:eastAsia="宋体"/>
          <w:b w:val="0"/>
          <w:sz w:val="28"/>
        </w:rPr>
        <w:t>2026年06月01日</w:t>
      </w:r>
    </w:p>
    <w:p>
      <w:pPr>
        <w:spacing w:line="480" w:lineRule="auto" w:before="60" w:after="60"/>
        <w:jc w:val="center"/>
      </w:pPr>
      <w:r>
        <w:rPr>
          <w:rFonts w:ascii="宋体" w:hAnsi="宋体" w:eastAsia="宋体"/>
          <w:b/>
          <w:sz w:val="28"/>
        </w:rPr>
        <w:t>首次发表日期：</w:t>
      </w:r>
      <w:r>
        <w:rPr>
          <w:rFonts w:ascii="宋体" w:hAnsi="宋体" w:eastAsia="宋体"/>
          <w:b w:val="0"/>
          <w:sz w:val="28"/>
        </w:rPr>
        <w:t>2026年06月07日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1  软件概述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2  软件功能描述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2.1  AI投研智能问答模块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2.2  量化策略回测模块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2.3  另类数据仪表盘模块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2.4  行业深度分析模块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2.5  模拟交易与报告生成模块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3  软件使用说明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3.1  运行环境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3.2  安装步骤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3.3  操作流程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4  软件技术特点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4.1  技术架构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4.2  技术创新点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 xml:space="preserve">    4.3  性能指标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  <w:t>5  软件界面截图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28"/>
        </w:rPr>
        <w:t>1  软件概述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软件全称：QuantInsight Pro AI驱动另类数据量化投研平台；软件简称：QuantInsight Pro；版本号：V1.0。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QuantInsight Pro是一款面向金融投资研究领域的AI驱动另类数据量化投研平台，由上海慧点智能科技有限公司自主研发。本软件旨在将人工智能大语言模型、另类数据分析与量化策略回测深度融合，为专业投资研究人员提供一站式智能投研解决方案，显著提升投研效率与决策质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的主要功能包括：AI投研智能问答、量化策略回测、另类数据仪表盘、行业深度分析、模拟交易与报告生成五大核心模块。通过自然语言交互即可完成投研分析、策略验证、数据监控等任务，大幅降低专业门槛，实现投研工作流的智能化升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应用领域：金融投资研究、量化策略回测、另类数据分析。本软件适用于基金公司、证券公司、私募机构、金融科技公司及个人量化投资者的投研与策略开发场景。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28"/>
        </w:rPr>
        <w:t>2  软件功能描述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QuantInsight Pro包含以下五大功能模块，各模块协同配合，覆盖投研全流程。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2.1  AI投研智能问答模块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本模块基于开源大语言模型微调与RAG（检索增强生成）技术构建投研智能体，支持用户以自然语言进行投研分析，实现多轮对话式交互。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基于开源大模型微调+RAG的投研智能体，具备专业金融知识理解与推理能力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支持自然语言投研分析、多轮对话，用户无需编写代码即可获取深度分析结果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内置10+行业/主题关键词模板，覆盖主要投研场景，快速生成结构化分析报告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3家LLM容灾机制（SenseNova/DeepSeek/Qwen），确保服务高可用性，任一模型故障自动切换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2.2  量化策略回测模块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本模块提供专业级量化策略回测引擎，支持多种经典策略与自定义参数，帮助用户快速验证投资策略的有效性。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5大策略：双均线动量策略、布林带均值回归策略、多因子合成策略、买入持有基准策略，以及自定义策略扩展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11.4年历史数据回测（2013年—2024年），覆盖完整牛熊周期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支持沪深300、中证500、创业板指等主流宽基指数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可调参数：均线周期、布林带窗口、手续费率等，灵活适配不同策略需求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NAV曲线、回撤曲线、详细指标展示（年化收益率、最大回撤、夏普比率、卡尔马比率等）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2.3  另类数据仪表盘模块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本模块整合多维度另类数据，为投资决策提供传统财务数据之外的增量信息。全部数据通过akshare免费接口获取真实数据，无需付费数据源。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宏观景气指标：PMI（采购经理指数）、CPI（居民消费价格指数）、PPI（工业生产者出厂价格指数）、工业增加值、用电量等，数据来源为国家统计局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市场情绪与资金流向：概念板块资金流向、北向资金、大单交易等，数据来源为东方财富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产业链传导：期货期现价差、机构调研、股权质押风险等，揭示产业链上下游传导信号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全部通过akshare免费接口获取真实数据，无需额外付费订阅数据源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2.4  行业深度分析模块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本模块基于申万行业分类体系，提供行业级别的深度分析能力。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申万行业分类选择，覆盖全部31个申万一级行业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行业成分股涨跌幅排行，快速定位行业内部强势与弱势标的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3层数据fallback机制：优先实时数据→缓存数据→离线快照，确保数据可用性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2.5  模拟交易与报告生成模块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本模块提供模拟交易环境与AI研报自动生成功能，帮助用户在零风险环境下验证交易思路。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A股实时行情：接入实时行情数据，模拟真实交易环境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模拟下单：支持买入、卖出操作，模拟持仓与盈亏计算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AI研报生成：基于大语言模型自动生成结构化研究报告，提升研报产出效率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28"/>
        </w:rPr>
        <w:t>3  软件使用说明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3.1  运行环境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本软件的运行环境要求如下：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D9E2F3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536"/>
            <w:shd w:fill="D9E2F3"/>
          </w:tcPr>
          <w:p>
            <w:r>
              <w:rPr>
                <w:rFonts w:ascii="宋体" w:hAnsi="宋体" w:eastAsia="宋体"/>
                <w:b/>
                <w:sz w:val="24"/>
              </w:rPr>
              <w:t>要求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Windows 10/11、macOS 12+、Ubuntu 20.04+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Python版本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Python 3.9 及以上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Streamlit版本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Streamlit 1.35 及以上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akshare版本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akshare 1.18 及以上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浏览器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Chrome / Edge / Firefox 最新版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网络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需联网访问akshare数据接口及LLM API</w:t>
            </w:r>
          </w:p>
        </w:tc>
      </w:tr>
    </w:tbl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3.2  安装步骤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本软件的安装步骤如下：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（1）确保系统已安装Python 3.9及以上版本；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（2）克隆或下载项目代码至本地目录；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（3）在项目根目录下执行命令安装依赖：pip install -r requirements.txt；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（4）安装完成后，执行命令启动应用：streamlit run app.py；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（5）浏览器自动打开应用页面，即可开始使用。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3.3  操作流程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本软件的典型操作流程如下：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（1）首页查看市场概览：启动后进入首页，浏览市场整体行情与关键指标；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（2）AI问答输入自然语言问题：切换至AI投研问答页面，输入投研相关问题，获取AI分析结果；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（3）量化回测选择策略和参数：进入量化策略回测页面，选择策略类型、设置参数，运行回测查看结果；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（4）另类数据查看宏观景气/资金流向/产业链：切换至另类数据仪表盘，查看宏观景气指标、市场情绪与资金流向、产业链传导数据；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（5）行业分析选择行业查看成分股：进入行业深度分析页面，选择申万行业分类，查看行业成分股涨跌幅排行。</w:t>
      </w:r>
    </w:p>
    <w:p>
      <w:pPr>
        <w:spacing w:line="360" w:lineRule="auto" w:before="240" w:after="120"/>
      </w:pPr>
      <w:r>
        <w:rPr>
          <w:rFonts w:ascii="宋体" w:hAnsi="宋体" w:eastAsia="宋体"/>
          <w:b/>
          <w:sz w:val="28"/>
        </w:rPr>
        <w:t>4  软件技术特点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4.1  技术架构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本软件采用前后端分离的B/S架构，技术栈如下：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前端：Streamlit + Plotly，实现响应式交互界面与专业级数据可视化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后端：Python + akshare，提供数据获取、策略计算、业务逻辑处理等核心能力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AI层：开源大模型微调+RAG（SenseNova/DeepSeek/Qwen容灾），提供智能投研分析能力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数据层：akshare免费金融数据接口，覆盖A股行情、宏观经济、行业分类等全维度数据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4.2  技术创新点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本软件在以下方面具有技术创新：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3家LLM容灾+reasoning_content思考链展示：集成SenseNova、DeepSeek、Qwen三家大语言模型，实现自动容灾切换，同时展示模型推理过程（思考链），提升分析透明度与可解释性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全真实另类数据（PMI/CPI/资金流向/期货/机构调研）：所有另类数据均通过akshare接口获取真实数据，非模拟数据，确保分析结论的可靠性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回测引擎开源（backtest_engine.py）：量化回测引擎代码完全开源，用户可审查、修改、扩展策略逻辑，保证回测结果的透明性与可复现性</w:t>
      </w:r>
    </w:p>
    <w:p>
      <w:pPr>
        <w:spacing w:line="360" w:lineRule="auto" w:before="0" w:after="0"/>
        <w:ind w:left="420"/>
      </w:pPr>
      <w:r>
        <w:rPr>
          <w:rFonts w:ascii="宋体" w:hAnsi="宋体" w:eastAsia="宋体"/>
          <w:b w:val="0"/>
          <w:sz w:val="24"/>
        </w:rPr>
        <w:t>● 数据管道生产级（异步+重试+断点+校验+监控）：数据获取管道采用异步并发、自动重试、断点续传、数据校验与运行监控等生产级工程实践，确保数据获取的稳定性与完整性</w:t>
      </w:r>
    </w:p>
    <w:p>
      <w:pPr>
        <w:spacing w:line="360" w:lineRule="auto" w:before="120" w:after="60"/>
        <w:ind w:firstLine="420"/>
      </w:pPr>
      <w:r>
        <w:rPr>
          <w:rFonts w:ascii="宋体" w:hAnsi="宋体" w:eastAsia="宋体"/>
          <w:b/>
          <w:sz w:val="24"/>
        </w:rPr>
        <w:t>4.3  性能指标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本软件的主要性能指标如下：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6"/>
            <w:shd w:fill="D9E2F3"/>
          </w:tcPr>
          <w:p>
            <w:r>
              <w:rPr>
                <w:rFonts w:ascii="宋体" w:hAnsi="宋体" w:eastAsia="宋体"/>
                <w:b/>
                <w:sz w:val="24"/>
              </w:rPr>
              <w:t>指标</w:t>
            </w:r>
          </w:p>
        </w:tc>
        <w:tc>
          <w:tcPr>
            <w:tcW w:type="dxa" w:w="4536"/>
            <w:shd w:fill="D9E2F3"/>
          </w:tcPr>
          <w:p>
            <w:r>
              <w:rPr>
                <w:rFonts w:ascii="宋体" w:hAnsi="宋体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页面加载时间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&lt; 3秒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回测计算时间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&lt; 5秒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数据缓存周期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指数/行业数据1小时；宏观/申万数据24小时</w:t>
            </w:r>
          </w:p>
        </w:tc>
      </w:tr>
    </w:tbl>
    <w:p>
      <w:pPr>
        <w:spacing w:line="360" w:lineRule="auto" w:before="240" w:after="120"/>
      </w:pPr>
      <w:r>
        <w:rPr>
          <w:rFonts w:ascii="宋体" w:hAnsi="宋体" w:eastAsia="宋体"/>
          <w:b/>
          <w:sz w:val="28"/>
        </w:rPr>
        <w:t>5  软件界面截图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以下为本软件各主要功能页面的界面截图，展示软件的实际运行效果。</w:t>
      </w:r>
    </w:p>
    <w:p>
      <w:pPr>
        <w:spacing w:line="360" w:lineRule="auto" w:before="120" w:after="12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22"/>
              </w:rPr>
              <w:br/>
              <w:t>【首页市场概览】</w:t>
              <w:br/>
              <w:t>展示A股主要指数实时行情、市场涨跌分布、板块资金流向等市场概览信息</w:t>
              <w:br/>
              <w:t>（此处插入软件界面截图）</w:t>
              <w:br/>
            </w:r>
          </w:p>
        </w:tc>
      </w:tr>
    </w:tbl>
    <w:p>
      <w:pPr>
        <w:spacing w:line="360" w:lineRule="auto" w:before="60" w:after="120"/>
        <w:jc w:val="center"/>
      </w:pPr>
      <w:r>
        <w:rPr>
          <w:rFonts w:ascii="宋体" w:hAnsi="宋体" w:eastAsia="宋体"/>
          <w:b w:val="0"/>
          <w:sz w:val="24"/>
        </w:rPr>
        <w:t>图：首页市场概览</w:t>
      </w:r>
    </w:p>
    <w:p>
      <w:pPr>
        <w:spacing w:line="360" w:lineRule="auto" w:before="120" w:after="12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22"/>
              </w:rPr>
              <w:br/>
              <w:t>【AI投研问答】</w:t>
              <w:br/>
              <w:t>展示用户输入自然语言问题后，AI智能体返回投研分析结果及思考链推理过程</w:t>
              <w:br/>
              <w:t>（此处插入软件界面截图）</w:t>
              <w:br/>
            </w:r>
          </w:p>
        </w:tc>
      </w:tr>
    </w:tbl>
    <w:p>
      <w:pPr>
        <w:spacing w:line="360" w:lineRule="auto" w:before="60" w:after="120"/>
        <w:jc w:val="center"/>
      </w:pPr>
      <w:r>
        <w:rPr>
          <w:rFonts w:ascii="宋体" w:hAnsi="宋体" w:eastAsia="宋体"/>
          <w:b w:val="0"/>
          <w:sz w:val="24"/>
        </w:rPr>
        <w:t>图：AI投研问答</w:t>
      </w:r>
    </w:p>
    <w:p>
      <w:pPr>
        <w:spacing w:line="360" w:lineRule="auto" w:before="120" w:after="12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22"/>
              </w:rPr>
              <w:br/>
              <w:t>【量化策略回测】</w:t>
              <w:br/>
              <w:t>展示策略回测参数设置界面及回测结果，包括NAV曲线、回撤曲线与详细绩效指标</w:t>
              <w:br/>
              <w:t>（此处插入软件界面截图）</w:t>
              <w:br/>
            </w:r>
          </w:p>
        </w:tc>
      </w:tr>
    </w:tbl>
    <w:p>
      <w:pPr>
        <w:spacing w:line="360" w:lineRule="auto" w:before="60" w:after="120"/>
        <w:jc w:val="center"/>
      </w:pPr>
      <w:r>
        <w:rPr>
          <w:rFonts w:ascii="宋体" w:hAnsi="宋体" w:eastAsia="宋体"/>
          <w:b w:val="0"/>
          <w:sz w:val="24"/>
        </w:rPr>
        <w:t>图：量化策略回测</w:t>
      </w:r>
    </w:p>
    <w:p>
      <w:pPr>
        <w:spacing w:line="360" w:lineRule="auto" w:before="120" w:after="12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22"/>
              </w:rPr>
              <w:br/>
              <w:t>【另类数据仪表盘】</w:t>
              <w:br/>
              <w:t>展示宏观景气指标（PMI/CPI/PPI）、市场情绪与资金流向、产业链传导等另类数据图表</w:t>
              <w:br/>
              <w:t>（此处插入软件界面截图）</w:t>
              <w:br/>
            </w:r>
          </w:p>
        </w:tc>
      </w:tr>
    </w:tbl>
    <w:p>
      <w:pPr>
        <w:spacing w:line="360" w:lineRule="auto" w:before="60" w:after="120"/>
        <w:jc w:val="center"/>
      </w:pPr>
      <w:r>
        <w:rPr>
          <w:rFonts w:ascii="宋体" w:hAnsi="宋体" w:eastAsia="宋体"/>
          <w:b w:val="0"/>
          <w:sz w:val="24"/>
        </w:rPr>
        <w:t>图：另类数据仪表盘</w:t>
      </w:r>
    </w:p>
    <w:p>
      <w:pPr>
        <w:spacing w:line="360" w:lineRule="auto" w:before="120" w:after="12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072"/>
            <w:shd w:fill="F0F0F0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22"/>
              </w:rPr>
              <w:br/>
              <w:t>【行业深度分析】</w:t>
              <w:br/>
              <w:t>展示申万行业选择界面及行业成分股涨跌幅排行表</w:t>
              <w:br/>
              <w:t>（此处插入软件界面截图）</w:t>
              <w:br/>
            </w:r>
          </w:p>
        </w:tc>
      </w:tr>
    </w:tbl>
    <w:p>
      <w:pPr>
        <w:spacing w:line="360" w:lineRule="auto" w:before="60" w:after="120"/>
        <w:jc w:val="center"/>
      </w:pPr>
      <w:r>
        <w:rPr>
          <w:rFonts w:ascii="宋体" w:hAnsi="宋体" w:eastAsia="宋体"/>
          <w:b w:val="0"/>
          <w:sz w:val="24"/>
        </w:rPr>
        <w:t>图：行业深度分析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