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/>
          <w:color w:val="0A0E27"/>
          <w:sz w:val="72"/>
        </w:rPr>
        <w:t>QuantInsight Pro</w:t>
      </w:r>
    </w:p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 w:val="0"/>
          <w:color w:val="00D4FF"/>
          <w:sz w:val="28"/>
        </w:rPr>
        <w:t>AI-Driven Alternative-Data Quant Research Platform</w:t>
      </w:r>
    </w:p>
    <w:p/>
    <w:p/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/>
          <w:color w:val="FFB800"/>
          <w:sz w:val="56"/>
        </w:rPr>
        <w:t>项 目 计 划 书</w:t>
      </w:r>
    </w:p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 w:val="0"/>
          <w:color w:val="8892B0"/>
          <w:sz w:val="28"/>
        </w:rPr>
        <w:t>Project Plan v1.0</w:t>
      </w:r>
    </w:p>
    <w:p/>
    <w:p/>
    <w:p/>
    <w:p/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 w:val="0"/>
          <w:color w:val="00D4FF"/>
          <w:sz w:val="24"/>
        </w:rPr>
        <w:t>┄┄┄┄┄┄┄┄┄┄┄┄┄┄┄┄┄┄┄┄┄┄┄┄┄┄┄┄┄┄┄┄┄</w:t>
      </w:r>
    </w:p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/>
          <w:color w:val="0A0E27"/>
          <w:sz w:val="24"/>
        </w:rPr>
        <w:t>团队名称：奇亮花智能科技（上海）有限公司筹备组</w:t>
      </w:r>
    </w:p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 w:val="0"/>
          <w:color w:val="0A0E27"/>
          <w:sz w:val="24"/>
        </w:rPr>
        <w:t>项目周期：2024-09 ~ 2026-12（共 28 个月）</w:t>
      </w:r>
    </w:p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 w:val="0"/>
          <w:color w:val="0A0E27"/>
          <w:sz w:val="24"/>
        </w:rPr>
        <w:t>文档版本：V1.0</w:t>
      </w:r>
    </w:p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 w:val="0"/>
          <w:color w:val="0A0E27"/>
          <w:sz w:val="24"/>
        </w:rPr>
        <w:t>发布日期：2026 年 6 月</w:t>
      </w:r>
    </w:p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 w:val="0"/>
          <w:color w:val="00D4FF"/>
          <w:sz w:val="24"/>
        </w:rPr>
        <w:t>┄┄┄┄┄┄┄┄┄┄┄┄┄┄┄┄┄┄┄┄┄┄┄┄┄┄┄┄┄┄┄┄┄</w:t>
      </w:r>
    </w:p>
    <w:p/>
    <w:p/>
    <w:p/>
    <w:p/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/>
          <w:color w:val="00D4FF"/>
          <w:sz w:val="28"/>
        </w:rPr>
        <w:t>AI · Quant · Shanghai · Finance</w:t>
      </w:r>
    </w:p>
    <w:p>
      <w:pPr>
        <w:spacing w:line="360" w:lineRule="auto" w:after="80"/>
        <w:ind w:firstLine="0"/>
        <w:jc w:val="center"/>
      </w:pPr>
      <w:r>
        <w:rPr>
          <w:rFonts w:ascii="Calibri" w:hAnsi="Calibri" w:eastAsia="微软雅黑"/>
          <w:b w:val="0"/>
          <w:color w:val="8892B0"/>
          <w:sz w:val="22"/>
        </w:rPr>
        <w:t>让每一行代码都为投资人创造超额收益</w:t>
      </w:r>
    </w:p>
    <w:p>
      <w:r>
        <w:br w:type="page"/>
      </w:r>
    </w:p>
    <w:p>
      <w:pPr>
        <w:spacing w:before="360" w:after="160" w:line="240" w:lineRule="auto"/>
        <w:pBdr>
          <w:bottom w:val="single" w:sz="12" w:color="0A0E27"/>
        </w:pBdr>
      </w:pPr>
      <w:r>
        <w:rPr>
          <w:rFonts w:ascii="Calibri" w:hAnsi="Calibri" w:eastAsia="微软雅黑"/>
          <w:b/>
          <w:color w:val="0A0E27"/>
          <w:sz w:val="36"/>
        </w:rPr>
        <w:t>目  录</w:t>
      </w:r>
    </w:p>
    <w:p>
      <w:pPr>
        <w:spacing w:after="80"/>
      </w:pPr>
      <w:r>
        <w:rPr>
          <w:rFonts w:ascii="Calibri" w:hAnsi="Calibri" w:eastAsia="微软雅黑"/>
          <w:b/>
          <w:color w:val="0A0E27"/>
          <w:sz w:val="24"/>
        </w:rPr>
        <w:t>第一章  项目概述</w:t>
      </w:r>
      <w:r>
        <w:rPr>
          <w:rFonts w:ascii="Calibri" w:hAnsi="Calibri" w:eastAsia="微软雅黑"/>
          <w:b w:val="0"/>
          <w:color w:val="8892B0"/>
          <w:sz w:val="22"/>
        </w:rPr>
        <w:t xml:space="preserve">  ..................................................  1</w:t>
      </w:r>
    </w:p>
    <w:p>
      <w:pPr>
        <w:spacing w:after="40"/>
        <w:ind w:left="283"/>
      </w:pPr>
      <w:r>
        <w:rPr>
          <w:rFonts w:ascii="Calibri" w:hAnsi="Calibri" w:eastAsia="微软雅黑"/>
          <w:b w:val="0"/>
          <w:color w:val="8892B0"/>
          <w:sz w:val="21"/>
        </w:rPr>
        <w:t xml:space="preserve">  1.1 项目背景与定位</w:t>
      </w:r>
      <w:r>
        <w:rPr>
          <w:rFonts w:ascii="Calibri" w:hAnsi="Calibri" w:eastAsia="微软雅黑"/>
          <w:b w:val="0"/>
          <w:color w:val="8892B0"/>
          <w:sz w:val="20"/>
        </w:rPr>
        <w:t xml:space="preserve">  ..................................................  1</w:t>
      </w:r>
    </w:p>
    <w:p>
      <w:pPr>
        <w:spacing w:after="40"/>
        <w:ind w:left="283"/>
      </w:pPr>
      <w:r>
        <w:rPr>
          <w:rFonts w:ascii="Calibri" w:hAnsi="Calibri" w:eastAsia="微软雅黑"/>
          <w:b w:val="0"/>
          <w:color w:val="8892B0"/>
          <w:sz w:val="21"/>
        </w:rPr>
        <w:t xml:space="preserve">  1.2 项目愿景与使命</w:t>
      </w:r>
      <w:r>
        <w:rPr>
          <w:rFonts w:ascii="Calibri" w:hAnsi="Calibri" w:eastAsia="微软雅黑"/>
          <w:b w:val="0"/>
          <w:color w:val="8892B0"/>
          <w:sz w:val="20"/>
        </w:rPr>
        <w:t xml:space="preserve">  ..................................................  1</w:t>
      </w:r>
    </w:p>
    <w:p>
      <w:pPr>
        <w:spacing w:after="40"/>
        <w:ind w:left="283"/>
      </w:pPr>
      <w:r>
        <w:rPr>
          <w:rFonts w:ascii="Calibri" w:hAnsi="Calibri" w:eastAsia="微软雅黑"/>
          <w:b w:val="0"/>
          <w:color w:val="8892B0"/>
          <w:sz w:val="21"/>
        </w:rPr>
        <w:t xml:space="preserve">  1.3 核心创新点</w:t>
      </w:r>
      <w:r>
        <w:rPr>
          <w:rFonts w:ascii="Calibri" w:hAnsi="Calibri" w:eastAsia="微软雅黑"/>
          <w:b w:val="0"/>
          <w:color w:val="8892B0"/>
          <w:sz w:val="20"/>
        </w:rPr>
        <w:t xml:space="preserve">  ..................................................  2</w:t>
      </w:r>
    </w:p>
    <w:p>
      <w:pPr>
        <w:spacing w:after="80"/>
      </w:pPr>
      <w:r>
        <w:rPr>
          <w:rFonts w:ascii="Calibri" w:hAnsi="Calibri" w:eastAsia="微软雅黑"/>
          <w:b/>
          <w:color w:val="0A0E27"/>
          <w:sz w:val="24"/>
        </w:rPr>
        <w:t>第二章  项目目标</w:t>
      </w:r>
      <w:r>
        <w:rPr>
          <w:rFonts w:ascii="Calibri" w:hAnsi="Calibri" w:eastAsia="微软雅黑"/>
          <w:b w:val="0"/>
          <w:color w:val="8892B0"/>
          <w:sz w:val="22"/>
        </w:rPr>
        <w:t xml:space="preserve">  ..................................................  3</w:t>
      </w:r>
    </w:p>
    <w:p>
      <w:pPr>
        <w:spacing w:after="40"/>
        <w:ind w:left="283"/>
      </w:pPr>
      <w:r>
        <w:rPr>
          <w:rFonts w:ascii="Calibri" w:hAnsi="Calibri" w:eastAsia="微软雅黑"/>
          <w:b w:val="0"/>
          <w:color w:val="8892B0"/>
          <w:sz w:val="21"/>
        </w:rPr>
        <w:t xml:space="preserve">  2.1 战略目标（3 年）</w:t>
      </w:r>
      <w:r>
        <w:rPr>
          <w:rFonts w:ascii="Calibri" w:hAnsi="Calibri" w:eastAsia="微软雅黑"/>
          <w:b w:val="0"/>
          <w:color w:val="8892B0"/>
          <w:sz w:val="20"/>
        </w:rPr>
        <w:t xml:space="preserve">  ..................................................  3</w:t>
      </w:r>
    </w:p>
    <w:p>
      <w:pPr>
        <w:spacing w:after="40"/>
        <w:ind w:left="283"/>
      </w:pPr>
      <w:r>
        <w:rPr>
          <w:rFonts w:ascii="Calibri" w:hAnsi="Calibri" w:eastAsia="微软雅黑"/>
          <w:b w:val="0"/>
          <w:color w:val="8892B0"/>
          <w:sz w:val="21"/>
        </w:rPr>
        <w:t xml:space="preserve">  2.2 商业目标（5 年财务）</w:t>
      </w:r>
      <w:r>
        <w:rPr>
          <w:rFonts w:ascii="Calibri" w:hAnsi="Calibri" w:eastAsia="微软雅黑"/>
          <w:b w:val="0"/>
          <w:color w:val="8892B0"/>
          <w:sz w:val="20"/>
        </w:rPr>
        <w:t xml:space="preserve">  ..................................................  3</w:t>
      </w:r>
    </w:p>
    <w:p>
      <w:pPr>
        <w:spacing w:after="40"/>
        <w:ind w:left="283"/>
      </w:pPr>
      <w:r>
        <w:rPr>
          <w:rFonts w:ascii="Calibri" w:hAnsi="Calibri" w:eastAsia="微软雅黑"/>
          <w:b w:val="0"/>
          <w:color w:val="8892B0"/>
          <w:sz w:val="21"/>
        </w:rPr>
        <w:t xml:space="preserve">  2.3 技术目标</w:t>
      </w:r>
      <w:r>
        <w:rPr>
          <w:rFonts w:ascii="Calibri" w:hAnsi="Calibri" w:eastAsia="微软雅黑"/>
          <w:b w:val="0"/>
          <w:color w:val="8892B0"/>
          <w:sz w:val="20"/>
        </w:rPr>
        <w:t xml:space="preserve">  ..................................................  3</w:t>
      </w:r>
    </w:p>
    <w:p>
      <w:pPr>
        <w:spacing w:after="40"/>
        <w:ind w:left="283"/>
      </w:pPr>
      <w:r>
        <w:rPr>
          <w:rFonts w:ascii="Calibri" w:hAnsi="Calibri" w:eastAsia="微软雅黑"/>
          <w:b w:val="0"/>
          <w:color w:val="8892B0"/>
          <w:sz w:val="21"/>
        </w:rPr>
        <w:t xml:space="preserve">  2.4 学术与品牌目标</w:t>
      </w:r>
      <w:r>
        <w:rPr>
          <w:rFonts w:ascii="Calibri" w:hAnsi="Calibri" w:eastAsia="微软雅黑"/>
          <w:b w:val="0"/>
          <w:color w:val="8892B0"/>
          <w:sz w:val="20"/>
        </w:rPr>
        <w:t xml:space="preserve">  ..................................................  4</w:t>
      </w:r>
    </w:p>
    <w:p>
      <w:pPr>
        <w:spacing w:after="80"/>
      </w:pPr>
      <w:r>
        <w:rPr>
          <w:rFonts w:ascii="Calibri" w:hAnsi="Calibri" w:eastAsia="微软雅黑"/>
          <w:b/>
          <w:color w:val="0A0E27"/>
          <w:sz w:val="24"/>
        </w:rPr>
        <w:t>第三章  7 阶段实施规划</w:t>
      </w:r>
      <w:r>
        <w:rPr>
          <w:rFonts w:ascii="Calibri" w:hAnsi="Calibri" w:eastAsia="微软雅黑"/>
          <w:b w:val="0"/>
          <w:color w:val="8892B0"/>
          <w:sz w:val="22"/>
        </w:rPr>
        <w:t xml:space="preserve">  ..................................................  5</w:t>
      </w:r>
    </w:p>
    <w:p>
      <w:pPr>
        <w:spacing w:after="80"/>
      </w:pPr>
      <w:r>
        <w:rPr>
          <w:rFonts w:ascii="Calibri" w:hAnsi="Calibri" w:eastAsia="微软雅黑"/>
          <w:b/>
          <w:color w:val="0A0E27"/>
          <w:sz w:val="24"/>
        </w:rPr>
        <w:t>第四章  12 关键时间轴</w:t>
      </w:r>
      <w:r>
        <w:rPr>
          <w:rFonts w:ascii="Calibri" w:hAnsi="Calibri" w:eastAsia="微软雅黑"/>
          <w:b w:val="0"/>
          <w:color w:val="8892B0"/>
          <w:sz w:val="22"/>
        </w:rPr>
        <w:t xml:space="preserve">  ..................................................  7</w:t>
      </w:r>
    </w:p>
    <w:p>
      <w:pPr>
        <w:spacing w:after="80"/>
      </w:pPr>
      <w:r>
        <w:rPr>
          <w:rFonts w:ascii="Calibri" w:hAnsi="Calibri" w:eastAsia="微软雅黑"/>
          <w:b/>
          <w:color w:val="0A0E27"/>
          <w:sz w:val="24"/>
        </w:rPr>
        <w:t>第五章  RACI 责任矩阵</w:t>
      </w:r>
      <w:r>
        <w:rPr>
          <w:rFonts w:ascii="Calibri" w:hAnsi="Calibri" w:eastAsia="微软雅黑"/>
          <w:b w:val="0"/>
          <w:color w:val="8892B0"/>
          <w:sz w:val="22"/>
        </w:rPr>
        <w:t xml:space="preserve">  ..................................................  9</w:t>
      </w:r>
    </w:p>
    <w:p>
      <w:pPr>
        <w:spacing w:after="80"/>
      </w:pPr>
      <w:r>
        <w:rPr>
          <w:rFonts w:ascii="Calibri" w:hAnsi="Calibri" w:eastAsia="微软雅黑"/>
          <w:b/>
          <w:color w:val="0A0E27"/>
          <w:sz w:val="24"/>
        </w:rPr>
        <w:t>第六章  资源需求与预算</w:t>
      </w:r>
      <w:r>
        <w:rPr>
          <w:rFonts w:ascii="Calibri" w:hAnsi="Calibri" w:eastAsia="微软雅黑"/>
          <w:b w:val="0"/>
          <w:color w:val="8892B0"/>
          <w:sz w:val="22"/>
        </w:rPr>
        <w:t xml:space="preserve">  ..................................................  10</w:t>
      </w:r>
    </w:p>
    <w:p>
      <w:pPr>
        <w:spacing w:after="80"/>
      </w:pPr>
      <w:r>
        <w:rPr>
          <w:rFonts w:ascii="Calibri" w:hAnsi="Calibri" w:eastAsia="微软雅黑"/>
          <w:b/>
          <w:color w:val="0A0E27"/>
          <w:sz w:val="24"/>
        </w:rPr>
        <w:t>第七章  风险与应对</w:t>
      </w:r>
      <w:r>
        <w:rPr>
          <w:rFonts w:ascii="Calibri" w:hAnsi="Calibri" w:eastAsia="微软雅黑"/>
          <w:b w:val="0"/>
          <w:color w:val="8892B0"/>
          <w:sz w:val="22"/>
        </w:rPr>
        <w:t xml:space="preserve">  ..................................................  11</w:t>
      </w:r>
    </w:p>
    <w:p>
      <w:pPr>
        <w:spacing w:after="80"/>
      </w:pPr>
      <w:r>
        <w:rPr>
          <w:rFonts w:ascii="Calibri" w:hAnsi="Calibri" w:eastAsia="微软雅黑"/>
          <w:b/>
          <w:color w:val="0A0E27"/>
          <w:sz w:val="24"/>
        </w:rPr>
        <w:t>第八章  关键里程碑与交付物</w:t>
      </w:r>
      <w:r>
        <w:rPr>
          <w:rFonts w:ascii="Calibri" w:hAnsi="Calibri" w:eastAsia="微软雅黑"/>
          <w:b w:val="0"/>
          <w:color w:val="8892B0"/>
          <w:sz w:val="22"/>
        </w:rPr>
        <w:t xml:space="preserve">  ..................................................  12</w:t>
      </w:r>
    </w:p>
    <w:p>
      <w:pPr>
        <w:spacing w:after="80"/>
      </w:pPr>
      <w:r>
        <w:rPr>
          <w:rFonts w:ascii="Calibri" w:hAnsi="Calibri" w:eastAsia="微软雅黑"/>
          <w:b/>
          <w:color w:val="0A0E27"/>
          <w:sz w:val="24"/>
        </w:rPr>
        <w:t>附录  联系信息</w:t>
      </w:r>
      <w:r>
        <w:rPr>
          <w:rFonts w:ascii="Calibri" w:hAnsi="Calibri" w:eastAsia="微软雅黑"/>
          <w:b w:val="0"/>
          <w:color w:val="8892B0"/>
          <w:sz w:val="22"/>
        </w:rPr>
        <w:t xml:space="preserve">  ..................................................  13</w:t>
      </w:r>
    </w:p>
    <w:p>
      <w:r>
        <w:br w:type="page"/>
      </w:r>
    </w:p>
    <w:p>
      <w:pPr>
        <w:spacing w:before="360" w:after="160" w:line="240" w:lineRule="auto"/>
        <w:pBdr>
          <w:bottom w:val="single" w:sz="12" w:color="0A0E27"/>
        </w:pBdr>
      </w:pPr>
      <w:r>
        <w:rPr>
          <w:rFonts w:ascii="Calibri" w:hAnsi="Calibri" w:eastAsia="微软雅黑"/>
          <w:b/>
          <w:color w:val="0A0E27"/>
          <w:sz w:val="36"/>
        </w:rPr>
        <w:t>第一章  项目概述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1.1 项目背景与定位</w:t>
      </w:r>
    </w:p>
    <w:p>
      <w:pPr>
        <w:spacing w:line="36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QuantInsight Pro 是面向专业投资人的 AI 驱动另类数据量化投研平台，融合大语言模型（LLM）、多智能体协作（Multi-Agent）、可解释 AI（SHAP）、另类数据（卫星图像 / 供应链 / 舆情）和多因子选股模型，为机构投资者、家族办公室和高净值客户提供"研判—回测—风控—交付"一站式服务。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行业痛点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投研效率低：传统研报撰写需 1-2 周，信息更新滞后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因子同质化：公开因子（PE/PB/ROE）拥挤，超额收益衰减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黑盒模型不可信：基金经理难以向客户解释 AI 决策依据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另类数据壁垒：卫星 / 供应链 / 舆情数据接入门槛高、清洗成本大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我们的定位</w:t>
      </w:r>
    </w:p>
    <w:p>
      <w:pPr>
        <w:spacing w:line="36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不做"另一个 Wind / 同花顺"，而是做"AI 投研 Copilot + 另类数据 Sigma 工厂"——通过大模型把"另类数据 → 因子 → 选股 → 报告"全流程压缩到分钟级，并提供 SHAP 级可解释性。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1.2 项目愿景与使命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愿景：成为亚洲领先的 AI 驱动另类数据量化投研平台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D4FF"/>
          <w:sz w:val="21"/>
        </w:rPr>
        <w:t>【说明】 使命：让中小机构也能用得起、用得懂、用得信顶级量化投研工具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D4FF"/>
          <w:sz w:val="21"/>
        </w:rPr>
        <w:t>【说明】 价值观：客户实证 · 技术极致 · 合规底线 · 长期主义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1.3 核心创新点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1）多智能体协作（Multi-Agent Orchestration）</w:t>
      </w:r>
    </w:p>
    <w:p>
      <w:pPr>
        <w:spacing w:line="36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首创『选股 Agent + 回测 Agent + 风控 Agent + 报告 Agent + 答辩 Agent』五智能体协同，单条研报从 2 周压缩到 8 分钟。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2）17 因子多维评分体系</w:t>
      </w:r>
    </w:p>
    <w:p>
      <w:pPr>
        <w:spacing w:line="36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覆盖估值 / 成长 / 质量 / 动量 / 流动性 / 技术 6 大维度，每个因子经 XGBoost + SHAP 解释，单只股票可输出『雷达图 + 瀑布图 + 决策路径』。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3）SHAP 全链路可解释</w:t>
      </w:r>
    </w:p>
    <w:p>
      <w:pPr>
        <w:spacing w:line="36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区别于"黑盒"AI 模型，所有选股 / 评分 / 决策均支持 SHAP TreeExplainer 可视化，符合机构投资人合规审计要求。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4）另类数据工厂化</w:t>
      </w:r>
    </w:p>
    <w:p>
      <w:pPr>
        <w:spacing w:line="36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卫星图像（停车场车辆数 / 炼厂库存）、供应链图谱、舆情 NLP、政策日历、ESG 评级等 6 类另类数据，全部工程化接入。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5）5 年回测 + 11.4 年长周期验证</w:t>
      </w:r>
    </w:p>
    <w:p>
      <w:pPr>
        <w:spacing w:line="36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核心策略经 2014-01 至 2025-06 共 11.4 年 A 股全市场回测，年化 23.6%，最大回撤 14.2%，夏普 1.87。</w:t>
      </w:r>
    </w:p>
    <w:p>
      <w:r>
        <w:br w:type="page"/>
      </w:r>
    </w:p>
    <w:p>
      <w:pPr>
        <w:spacing w:before="360" w:after="160" w:line="240" w:lineRule="auto"/>
        <w:pBdr>
          <w:bottom w:val="single" w:sz="12" w:color="0A0E27"/>
        </w:pBdr>
      </w:pPr>
      <w:r>
        <w:rPr>
          <w:rFonts w:ascii="Calibri" w:hAnsi="Calibri" w:eastAsia="微软雅黑"/>
          <w:b/>
          <w:color w:val="0A0E27"/>
          <w:sz w:val="36"/>
        </w:rPr>
        <w:t>第二章  项目目标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2.1 战略目标（3 年）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1. 2026 年：完成"创客中国"上海赛区前三目标，签约 3 家付费机构客户（已超额完成：3 家签约 + 5 份 LOI = ¥2.33M）。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2. 2027 年：覆盖 30 家机构客户，ARR 突破 ¥3,000 万，模型在 5 大策略类型上完成学术论文发表（SSCI/SCI）。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3. 2028 年：成为长三角另类数据量化投研 SaaS 第一品牌，ARR 突破 ¥8,000 万，启动 A 轮融资（目标 ¥1 亿估值）。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2.2 商业目标（5 年财务）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5 年累计营收目标：¥2.18 亿（CAGR 138%）；5 年累计净利：¥0.68 亿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5 年 LTV/CAC 健康度：始终保持 ≥ 30（当前 82.2，远超 SaaS 行业 3 倍基准）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5 年 NRR（净收入留存率）：目标 130-150%（当前 140%）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24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1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客户数</w:t>
            </w:r>
          </w:p>
        </w:tc>
        <w:tc>
          <w:tcPr>
            <w:tcW w:type="dxa" w:w="141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ARR(¥万)</w:t>
            </w:r>
          </w:p>
        </w:tc>
        <w:tc>
          <w:tcPr>
            <w:tcW w:type="dxa" w:w="141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净利(¥万)</w:t>
            </w:r>
          </w:p>
        </w:tc>
        <w:tc>
          <w:tcPr>
            <w:tcW w:type="dxa" w:w="141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LTV/CAC</w:t>
            </w:r>
          </w:p>
        </w:tc>
        <w:tc>
          <w:tcPr>
            <w:tcW w:type="dxa" w:w="141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NRR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Y1 (2026)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3+5LOI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380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-120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82.2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140%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Y2 (2027)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15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1,800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350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65.0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138%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Y3 (2028)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4,500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1,200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55.0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142%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Y4 (2029)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7,000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2,500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48.0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145%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Y5 (2030)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150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8,000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3,200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42.0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150%</w:t>
            </w:r>
          </w:p>
        </w:tc>
      </w:tr>
    </w:tbl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2.3 技术目标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核心引擎：Streamlit + Python 3.11 + XGBoost 2.0 + SHAP 0.46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AI 栈：Qwen3-72B / DeepSeek-V3 / 阿里云百炼 / 5 大子智能体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数据栈：akshare + tushare + akshare 期货 + 东财 + 新浪 + 雪球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性能：单只股票因子计算 &lt; 1.2s，SHAP 解释 &lt; 0.8s，回测 5 年 &lt; 30s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稳定性：Uptime ≥ 99.5%，双活部署（阿里云上海 + 杭州）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安全：通过等保 2.0 二级 + 国密 SM4 加密 + 软著 1 项 + 申请中 1 项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2.4 学术与品牌目标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论文：3 年内发表 SSCI/SCI 期刊论文 ≥ 5 篇（已与复旦 / 上交 / 上财 / 同济 / 华师大建立 MOU）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诺奖顾问委员会：5 位拟邀（已确认 1 位意向，2 位接触中）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软著：已获 1 项 + 申请中 1 项 + 计划申请 5 项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品牌曝光：3 年内累计 50+ 媒体专题报道 / 行业大会演讲</w:t>
      </w:r>
    </w:p>
    <w:p>
      <w:r>
        <w:br w:type="page"/>
      </w:r>
    </w:p>
    <w:p>
      <w:pPr>
        <w:spacing w:before="360" w:after="160" w:line="240" w:lineRule="auto"/>
        <w:pBdr>
          <w:bottom w:val="single" w:sz="12" w:color="0A0E27"/>
        </w:pBdr>
      </w:pPr>
      <w:r>
        <w:rPr>
          <w:rFonts w:ascii="Calibri" w:hAnsi="Calibri" w:eastAsia="微软雅黑"/>
          <w:b/>
          <w:color w:val="0A0E27"/>
          <w:sz w:val="36"/>
        </w:rPr>
        <w:t>第三章  7 阶段实施规划</w:t>
      </w:r>
    </w:p>
    <w:p>
      <w:pPr>
        <w:spacing w:line="36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项目周期 28 个月（2024-09 ~ 2026-12），分 7 个阶段递进推进。每阶段产出明确、可验收。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阶段 1：P1 基础研发（2024-09 ~ 2025-02，6 个月）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阶段目标：核心引擎搭建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/>
          <w:color w:val="00D4FF"/>
          <w:sz w:val="21"/>
        </w:rPr>
        <w:t>关键交付物：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完成 Streamlit 主框架 + 5 大功能模块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akshare 数据管道打通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XGBoost 17 因子模型 V1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5 年回测引擎 V1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阶段 2：P2 AI 智能化（2025-03 ~ 2025-06，4 个月）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阶段目标：LLM + SHAP 接入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/>
          <w:color w:val="00D4FF"/>
          <w:sz w:val="21"/>
        </w:rPr>
        <w:t>关键交付物：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Qwen3-72B 接入 + 4 大子智能体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SHAP TreeExplainer 集成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RAG 知识库（5 类研报）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自动报告生成（PDF/DOCX）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阶段 3：P3 产品化（2025-07 ~ 2025-10，4 个月）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阶段目标：从 Demo 到产品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/>
          <w:color w:val="00D4FF"/>
          <w:sz w:val="21"/>
        </w:rPr>
        <w:t>关键交付物：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13+ 业务功能模块完整化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UI 主题 / 品牌色规范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错误处理 + 鲁棒性保障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模拟交易 + 智能盯盘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阶段 4：P4 商业化 0 → 1（2025-11 ~ 2026-03，5 个月）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阶段目标：首批付费客户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/>
          <w:color w:val="00D4FF"/>
          <w:sz w:val="21"/>
        </w:rPr>
        <w:t>关键交付物：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完成首个付费客户（永字资管 ¥120K）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签约 2 份 LOI（华泰 + 家族办公室）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建立 LTV/CAC 模型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客户成功 SOP 文档化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阶段 5：P5 商业化 1 → N（2026-04 ~ 2026-08，5 个月）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阶段目标：规模化复制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/>
          <w:color w:val="00D4FF"/>
          <w:sz w:val="21"/>
        </w:rPr>
        <w:t>关键交付物：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客户数从 3 → 15（Y2 目标）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客户成功体系从 0 搭建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营销获客漏斗上线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LTV 提升 30%（交叉销售）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阶段 6：P6 学术与品牌（2026-09 ~ 2026-12，4 个月）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阶段目标：诺奖顾问 + 论文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/>
          <w:color w:val="00D4FF"/>
          <w:sz w:val="21"/>
        </w:rPr>
        <w:t>关键交付物：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完成 5 所高校 MOU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诺奖顾问委员会组建（5 位）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首篇 SSci 期刊投稿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3 项软著 + 1 项专利申请</w:t>
      </w:r>
    </w:p>
    <w:p>
      <w:pPr>
        <w:spacing w:before="160" w:after="80"/>
      </w:pPr>
      <w:r>
        <w:rPr>
          <w:rFonts w:ascii="Calibri" w:hAnsi="Calibri" w:eastAsia="微软雅黑"/>
          <w:b/>
          <w:color w:val="FFB800"/>
          <w:sz w:val="24"/>
        </w:rPr>
        <w:t>● 阶段 7：P7 资本运作（2027-01 ~ 2027-12，12 个月）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阶段目标：A 轮融资 + 出海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/>
          <w:color w:val="00D4FF"/>
          <w:sz w:val="21"/>
        </w:rPr>
        <w:t>关键交付物：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A 轮融资目标 ¥1 亿估值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启动香港 / 新加坡出海调研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启动 C 端高净值订阅产品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筹备港股 IPO 财务合规</w:t>
      </w:r>
    </w:p>
    <w:p>
      <w:r>
        <w:br w:type="page"/>
      </w:r>
    </w:p>
    <w:p>
      <w:pPr>
        <w:spacing w:before="360" w:after="160" w:line="240" w:lineRule="auto"/>
        <w:pBdr>
          <w:bottom w:val="single" w:sz="12" w:color="0A0E27"/>
        </w:pBdr>
      </w:pPr>
      <w:r>
        <w:rPr>
          <w:rFonts w:ascii="Calibri" w:hAnsi="Calibri" w:eastAsia="微软雅黑"/>
          <w:b/>
          <w:color w:val="0A0E27"/>
          <w:sz w:val="36"/>
        </w:rPr>
        <w:t>第四章  12 关键时间轴</w:t>
      </w:r>
    </w:p>
    <w:p>
      <w:pPr>
        <w:spacing w:line="36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项目 28 个月周期内的 12 个关键里程碑节点，对应外部评审 / 内部交付 / 客户验收等关键事件。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13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41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里程碑</w:t>
            </w:r>
          </w:p>
        </w:tc>
        <w:tc>
          <w:tcPr>
            <w:tcW w:type="dxa" w:w="3969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关键交付</w:t>
            </w:r>
          </w:p>
        </w:tc>
        <w:tc>
          <w:tcPr>
            <w:tcW w:type="dxa" w:w="113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负责人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2024-10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产品立项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完成团队组建 + 商业模式画布 V1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创始人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2024-12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MVP Demo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Streamlit + 3 因子 V0.1 + akshare 接入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技术总监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2025-02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P1 验收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17 因子 + 5 年回测 + 雪球对接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技术总监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2025-04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AI 上线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Qwen3-72B + RAG + 子智能体 V1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AI 负责人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2025-06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SHAP 发布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TreeExplainer + 17 因子可视化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算法负责人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2025-08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产品发布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13 模块完整 + UI 主题 + 模拟交易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产品总监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M7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2025-11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首客签约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永字资管 ¥120K 合同 + 实盘部署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商务总监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2026-02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客户验证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A/B Test 完成 + SHAP 白皮书 V1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创始人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M9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2026-04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赛事冲刺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创客中国上海赛区报名 + 12 份材料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全员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M10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2026-06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初赛答辩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前 30 晋级决赛（已完成 4 轮模拟）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创始人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M11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2026-09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学术突破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首篇 SSci 投稿 + 5 校 MOU 落地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学术顾问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M12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2026-12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P6 收官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诺奖顾问 5 位 + 软著 3 项 + 媒体 20+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创始人</w:t>
            </w:r>
          </w:p>
        </w:tc>
      </w:tr>
    </w:tbl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M1-M8 已全部按期 / 提前达成；M9-M12 正在按时间表推进中。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FFB800"/>
          <w:sz w:val="21"/>
        </w:rPr>
        <w:t>【注意】 关键路径：M7（首客）→ M9（赛事）→ M10（答辩）→ M12（P6 收官）</w:t>
      </w:r>
    </w:p>
    <w:p>
      <w:r>
        <w:br w:type="page"/>
      </w:r>
    </w:p>
    <w:p>
      <w:pPr>
        <w:spacing w:before="360" w:after="160" w:line="240" w:lineRule="auto"/>
        <w:pBdr>
          <w:bottom w:val="single" w:sz="12" w:color="0A0E27"/>
        </w:pBdr>
      </w:pPr>
      <w:r>
        <w:rPr>
          <w:rFonts w:ascii="Calibri" w:hAnsi="Calibri" w:eastAsia="微软雅黑"/>
          <w:b/>
          <w:color w:val="0A0E27"/>
          <w:sz w:val="36"/>
        </w:rPr>
        <w:t>第五章  RACI 责任矩阵</w:t>
      </w:r>
    </w:p>
    <w:p>
      <w:pPr>
        <w:spacing w:line="36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RACI 矩阵明确 8 大工作流 / 7 类岗位的职责分工：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D4FF"/>
          <w:sz w:val="21"/>
        </w:rPr>
        <w:t>【说明】 R = 负责执行 / A = 最终问责 / C = 需被咨询 / I = 仅需知情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41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工作流</w:t>
            </w:r>
          </w:p>
        </w:tc>
        <w:tc>
          <w:tcPr>
            <w:tcW w:type="dxa" w:w="96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创始人 CEO</w:t>
            </w:r>
          </w:p>
        </w:tc>
        <w:tc>
          <w:tcPr>
            <w:tcW w:type="dxa" w:w="96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技术 CTO</w:t>
            </w:r>
          </w:p>
        </w:tc>
        <w:tc>
          <w:tcPr>
            <w:tcW w:type="dxa" w:w="96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AI 负责人</w:t>
            </w:r>
          </w:p>
        </w:tc>
        <w:tc>
          <w:tcPr>
            <w:tcW w:type="dxa" w:w="96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数据负责人</w:t>
            </w:r>
          </w:p>
        </w:tc>
        <w:tc>
          <w:tcPr>
            <w:tcW w:type="dxa" w:w="96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CS 负责人</w:t>
            </w:r>
          </w:p>
        </w:tc>
        <w:tc>
          <w:tcPr>
            <w:tcW w:type="dxa" w:w="96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商务 BD</w:t>
            </w:r>
          </w:p>
        </w:tc>
        <w:tc>
          <w:tcPr>
            <w:tcW w:type="dxa" w:w="96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品牌/学术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产品规划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R/A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技术研发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A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AI 模型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A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数据工程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A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客户成功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A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商务销售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A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品牌市场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A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合规法务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A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学术合作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A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融资财务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A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</w:t>
            </w:r>
          </w:p>
        </w:tc>
      </w:tr>
    </w:tbl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5.1 关键岗位定义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创始人 CEO：战略 / 融资 / 客户关系 / 答辩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技术 CTO：架构 / 工程 / 部署 / 运维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AI 负责人：LLM / SHAP / 多智能体 / 算法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数据负责人：数据管道 / 另类数据 / 数据质量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CS（客户成功）：客户交付 / 培训 / 回访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商务 BD：销售 / 合同 / 渠道 / 招投标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品牌 / 学术：媒体 / 论文 / 顾问 / 高校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5.2 协作机制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周会：每周一 9:30 全员同步（30 分钟）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月度复盘：每月最后一周六下午（4 小时）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季度 OKR 评审：每季度末（半日）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年度战略会：每年 12 月（2 天 1 晚）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重大事件 24h 通报：A 级事件（&gt;¥100K 损失 / 客户流失）2 小时内全员同步</w:t>
      </w:r>
    </w:p>
    <w:p>
      <w:r>
        <w:br w:type="page"/>
      </w:r>
    </w:p>
    <w:p>
      <w:pPr>
        <w:spacing w:before="360" w:after="160" w:line="240" w:lineRule="auto"/>
        <w:pBdr>
          <w:bottom w:val="single" w:sz="12" w:color="0A0E27"/>
        </w:pBdr>
      </w:pPr>
      <w:r>
        <w:rPr>
          <w:rFonts w:ascii="Calibri" w:hAnsi="Calibri" w:eastAsia="微软雅黑"/>
          <w:b/>
          <w:color w:val="0A0E27"/>
          <w:sz w:val="36"/>
        </w:rPr>
        <w:t>第六章  资源需求与预算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6.1 人力资源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岗位</w:t>
            </w:r>
          </w:p>
        </w:tc>
        <w:tc>
          <w:tcPr>
            <w:tcW w:type="dxa" w:w="158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P1-P3 (0-1)</w:t>
            </w:r>
          </w:p>
        </w:tc>
        <w:tc>
          <w:tcPr>
            <w:tcW w:type="dxa" w:w="158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P4-P5 (1-10)</w:t>
            </w:r>
          </w:p>
        </w:tc>
        <w:tc>
          <w:tcPr>
            <w:tcW w:type="dxa" w:w="158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P6-P7 (10-100)</w:t>
            </w:r>
          </w:p>
        </w:tc>
        <w:tc>
          <w:tcPr>
            <w:tcW w:type="dxa" w:w="158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P8+ (100+)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创始人 / 合伙人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技术研发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30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AI 算法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12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数据工程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客户成功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15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商务销售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品牌 / 市场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合规 / 财务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合计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8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22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47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98</w:t>
            </w:r>
          </w:p>
        </w:tc>
      </w:tr>
    </w:tbl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6.2 资金需求（28 个月）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D4FF"/>
          <w:sz w:val="21"/>
        </w:rPr>
        <w:t>【说明】 P1-P3（0→1 阶段）：¥420 万（已完成 ¥180 万自有 + 240 万筹备）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FFB800"/>
          <w:sz w:val="21"/>
        </w:rPr>
        <w:t>【注意】 P4-P6（1→N 阶段）：¥1,200 万（计划：政府引导基金 ¥300 万 + 天使轮 ¥900 万）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D4FF"/>
          <w:sz w:val="21"/>
        </w:rPr>
        <w:t>【说明】 P7（资本运作）：A 轮 ¥1 亿估值融资 ¥3,000-5,000 万（2027 年）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158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P1-P3</w:t>
            </w:r>
          </w:p>
        </w:tc>
        <w:tc>
          <w:tcPr>
            <w:tcW w:type="dxa" w:w="158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P4-P6</w:t>
            </w:r>
          </w:p>
        </w:tc>
        <w:tc>
          <w:tcPr>
            <w:tcW w:type="dxa" w:w="158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P7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人力成本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¥240万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¥520万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¥1,200万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云服务 / 算力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¥60万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¥180万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¥400万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数据采购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¥30万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¥120万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¥300万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市场推广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¥20万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¥180万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¥500万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合规法务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¥15万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¥60万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¥150万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运营 / 其他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¥55万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¥140万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¥450万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合计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¥420万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¥1,200万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¥3,000万</w:t>
            </w:r>
          </w:p>
        </w:tc>
      </w:tr>
    </w:tbl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6.3 技术资源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云：阿里云 ECS 上海 + 杭州双活（4 台 8C16G）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存储：OSS 5TB + RDS PostgreSQL 2 套 + Redis 1 套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AI 算力：阿里云百炼 + 自建 GPU 1 台（A100 80G）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网络：5 Mbps BGP + WAF + DDoS 防护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安全：等保 2.0 二级 + SSL + 国密 SM4 + WAF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监控：Prometheus + Grafana + 阿里云日志服务</w:t>
      </w:r>
    </w:p>
    <w:p>
      <w:r>
        <w:br w:type="page"/>
      </w:r>
    </w:p>
    <w:p>
      <w:pPr>
        <w:spacing w:before="360" w:after="160" w:line="240" w:lineRule="auto"/>
        <w:pBdr>
          <w:bottom w:val="single" w:sz="12" w:color="0A0E27"/>
        </w:pBdr>
      </w:pPr>
      <w:r>
        <w:rPr>
          <w:rFonts w:ascii="Calibri" w:hAnsi="Calibri" w:eastAsia="微软雅黑"/>
          <w:b/>
          <w:color w:val="0A0E27"/>
          <w:sz w:val="36"/>
        </w:rPr>
        <w:t>第七章  风险与应对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680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24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风险项</w:t>
            </w:r>
          </w:p>
        </w:tc>
        <w:tc>
          <w:tcPr>
            <w:tcW w:type="dxa" w:w="79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79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794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4535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应对措施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R1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数据合规风险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color w:val="FF4D4F"/>
                <w:sz w:val="20"/>
              </w:rPr>
              <w:t>FF4D4F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• 已建立数据来源白名单（akshare / tushare / 东财 / 新浪）</w:t>
              <w:br/>
              <w:t>• 100% 合规溯源 + 用户授权 + 加密存储</w:t>
              <w:br/>
              <w:t>• 每季度合规审计 + 第三方律所审核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R2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模型失效风险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color w:val="FF4D4F"/>
                <w:sz w:val="20"/>
              </w:rPr>
              <w:t>FF4D4F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• 17 因子 + 5 大策略类型互为对冲</w:t>
              <w:br/>
              <w:t>• 季度因子有效性检验 + 自动降权</w:t>
              <w:br/>
              <w:t>• SHAP 可解释性 + 人工复核机制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R3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技术故障风险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FFB800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• 阿里云上海 + 杭州双活部署</w:t>
              <w:br/>
              <w:t>• 数据库每日全量备份 + 跨区异地</w:t>
              <w:br/>
              <w:t>• 故障 5 分钟内自动切换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R4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市场拓展风险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FFB800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• 已签 3 家 + 5 份 LOI 验证商业模式</w:t>
              <w:br/>
              <w:t>• LTV/CAC=82.2 远优于行业 3 倍</w:t>
              <w:br/>
              <w:t>• 多渠道（直销 / 渠道 / 高校 / 政府）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R5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资金链断裂风险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FFB800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低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• 28 个月现金流规划 + 6 个月安全垫</w:t>
              <w:br/>
              <w:t>• 3 条融资管道（政府 / 天使 / A 轮）</w:t>
              <w:br/>
              <w:t>• 关键节点客户预付款 ≥ 30%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R6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核心人员流失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color w:val="FFB800"/>
                <w:sz w:val="20"/>
              </w:rPr>
              <w:t>FFB800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• 股权激励 + 期权池（10%）</w:t>
              <w:br/>
              <w:t>• 关键岗位 AB 角备份</w:t>
              <w:br/>
              <w:t>• 签订 3 年竞业协议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R7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监管政策变化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color w:val="FF4D4F"/>
                <w:sz w:val="20"/>
              </w:rPr>
              <w:t>FF4D4F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• 100% 自有数据 + 不接触用户资金</w:t>
              <w:br/>
              <w:t>• 每月政策扫描 + 提前 6 个月预案</w:t>
              <w:br/>
              <w:t>• 已对接 2 家头部律所 + 1 家会计师事务所</w:t>
            </w:r>
          </w:p>
        </w:tc>
      </w:tr>
    </w:tbl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00C896"/>
          <w:sz w:val="21"/>
        </w:rPr>
        <w:t>【达标】 "五层安全垫"：数据合规 + 模型鲁棒 + 技术容灾 + 商业验证 + 财务规划</w:t>
      </w:r>
    </w:p>
    <w:p>
      <w:pPr>
        <w:spacing w:line="360" w:lineRule="auto" w:after="120" w:before="80"/>
        <w:ind w:left="170" w:right="170"/>
      </w:pPr>
      <w:r>
        <w:rPr>
          <w:rFonts w:ascii="Calibri" w:hAnsi="Calibri" w:eastAsia="微软雅黑"/>
          <w:b/>
          <w:color w:val="FFB800"/>
          <w:sz w:val="21"/>
        </w:rPr>
        <w:t>【注意】 每季度风险评审 1 次；A 级风险 24h 内启动预案</w:t>
      </w:r>
    </w:p>
    <w:p>
      <w:r>
        <w:br w:type="page"/>
      </w:r>
    </w:p>
    <w:p>
      <w:pPr>
        <w:spacing w:before="360" w:after="160" w:line="240" w:lineRule="auto"/>
        <w:pBdr>
          <w:bottom w:val="single" w:sz="12" w:color="0A0E27"/>
        </w:pBdr>
      </w:pPr>
      <w:r>
        <w:rPr>
          <w:rFonts w:ascii="Calibri" w:hAnsi="Calibri" w:eastAsia="微软雅黑"/>
          <w:b/>
          <w:color w:val="0A0E27"/>
          <w:sz w:val="36"/>
        </w:rPr>
        <w:t>第八章  关键里程碑与交付物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8.1 已达成里程碑（截至 2026-06）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1. M1-M8 全部按期达成（其中 M5 提前 30 天）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2. 3 家付费客户签约（永字资管 ¥120K + 华泰 ¥80K + 家族办公室 ¥180K）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3. 5 份 LOI 锁定（合计 ¥1.95M 意向）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4. 5 所高校 MOU（复旦 / 上交 / 上财 / 同济 / 华师大）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5. 1 项软著获证 + 1 项申请中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6. 11.4 年回测 + 永字资管 4 周 A/B Test 实证研究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8.2 下一阶段里程碑（2026-07 ~ 2026-12）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1. M9（2026-09）：创客中国上海赛区决赛答辩（已完成 4 轮模拟）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2. M10（2026-10）：客户数从 3 → 8，新增 ARR ≥ ¥500K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3. M11（2026-11）：首篇 SSci 期刊投稿 + 诺奖顾问 5 位签约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4. M12（2026-12）：A 轮融资启动会 + 港股 IPO 财务辅导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8.3 关键交付物清单（28 个月）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1417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5102"/>
            <w:vAlign w:val="center"/>
            <w:shd w:val="clear" w:color="auto" w:fill="0A0E2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代码 / 文档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120+ 份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Streamlit 应用 1900+ 行 / 14 份技术文档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客户合同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 份 + 5 LOI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已签 3 + 在谈 5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学术论文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5 篇目标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已规划 4 篇 / 投稿 1 篇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软著 / 专利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 + 1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已获 1 / 申请中 1 / 计划 2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媒体曝光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50+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已 20+ / 计划 30+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品牌资产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 份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白皮书 / 客户验证包 / 答辩话术 / 风险预案等</w:t>
            </w:r>
          </w:p>
        </w:tc>
      </w:tr>
    </w:tbl>
    <w:p>
      <w:r>
        <w:br w:type="page"/>
      </w:r>
    </w:p>
    <w:p>
      <w:pPr>
        <w:spacing w:before="360" w:after="160" w:line="240" w:lineRule="auto"/>
        <w:pBdr>
          <w:bottom w:val="single" w:sz="12" w:color="0A0E27"/>
        </w:pBdr>
      </w:pPr>
      <w:r>
        <w:rPr>
          <w:rFonts w:ascii="Calibri" w:hAnsi="Calibri" w:eastAsia="微软雅黑"/>
          <w:b/>
          <w:color w:val="0A0E27"/>
          <w:sz w:val="36"/>
        </w:rPr>
        <w:t>附录  联系信息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A.1 团队联系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sz w:val="22"/>
        </w:rPr>
        <w:t>项目名称：QuantInsight Pro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sz w:val="22"/>
        </w:rPr>
        <w:t>公司名称：奇亮花智能科技（上海）有限公司（筹备中）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sz w:val="22"/>
        </w:rPr>
        <w:t>办公地址：上海市浦东新区张江高科技园区博云路 2 号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sz w:val="22"/>
        </w:rPr>
        <w:t>官方网站：https://www.quantinsight.ai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sz w:val="22"/>
        </w:rPr>
        <w:t>GitHub：https://github.com/qip-shanghai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sz w:val="22"/>
        </w:rPr>
        <w:t>联系电话：+86 21-xxxx-xxxx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sz w:val="22"/>
        </w:rPr>
        <w:t>联系邮箱：contact@quantinsight.ai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sz w:val="22"/>
        </w:rPr>
        <w:t>商务合作：bd@quantinsight.ai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sz w:val="22"/>
        </w:rPr>
        <w:t>学术合作：academic@quantinsight.ai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sz w:val="22"/>
        </w:rPr>
        <w:t>媒体联系：pr@quantinsight.ai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A.2 顾问委员会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首席顾问：拟邀 1 位诺奖经济学奖得主（接触中）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学术顾问：拟邀 5 位 QS 前 100 终身教授（已确认 1 位）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行业顾问：拟邀 3 位头部资管合伙人（接触中）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技术顾问：拟邀 2 位阿里 / 腾讯 P9+ 专家（已确认 1 位）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A.3 配套文档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README.md（项目总览）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QuantInsight_Pro_用户使用手册.docx（产品使用）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QuantInsight_Pro_项目技术栈架构图.md（技术全景）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QuantInsight_Pro_SHAP商业化案例白皮书_V1.md（实证）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QuantInsight_Pro_客户验证证据包_V1.md（客户证据）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QuantInsight_Pro_商业模式画布_V1.md（商业模式）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QuantInsight_Pro_BP_V3_三版本.md（商业计划书三版本）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QuantInsight_Pro_答辩话术_V3.md（25 高频问题）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QuantInsight_Pro_风险预案_V2.md（7 大风险）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QuantInsight_Pro_3轮模拟答辩脚本_V1.md（3 轮模拟）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QuantInsight_Pro_营销获客漏斗_V1.md（5 层漏斗）</w:t>
      </w:r>
    </w:p>
    <w:p>
      <w:pPr>
        <w:spacing w:line="360" w:lineRule="auto" w:after="40"/>
        <w:ind w:left="420"/>
      </w:pPr>
      <w:r>
        <w:rPr>
          <w:rFonts w:ascii="Calibri" w:hAnsi="Calibri" w:eastAsia="微软雅黑"/>
          <w:b w:val="0"/>
          <w:sz w:val="21"/>
        </w:rPr>
        <w:t>• QuantInsight_Pro_视觉锤大屏背景_V1.md（上海陆家嘴）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▶ A.4 文档版本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color w:val="8892B0"/>
          <w:sz w:val="21"/>
        </w:rPr>
        <w:t>V1.0 / 2026-06-16 / 创始团队（Q1 冠军冲刺版）</w:t>
      </w:r>
    </w:p>
    <w:p>
      <w:pPr>
        <w:spacing w:line="360" w:lineRule="auto" w:after="80"/>
        <w:ind w:firstLine="0"/>
      </w:pPr>
      <w:r>
        <w:rPr>
          <w:rFonts w:ascii="Calibri" w:hAnsi="Calibri" w:eastAsia="微软雅黑"/>
          <w:b w:val="0"/>
          <w:color w:val="8892B0"/>
          <w:sz w:val="21"/>
        </w:rPr>
        <w:t>下次更新：2026-09（A 轮融资启动会前）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