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icrosoft YaHei" w:hAnsi="Microsoft YaHei" w:eastAsia="Microsoft YaHei"/>
          <w:b w:val="0"/>
          <w:i w:val="0"/>
          <w:sz w:val="20"/>
        </w:rPr>
        <w:br/>
        <w:br/>
        <w:br/>
      </w:r>
    </w:p>
    <w:p>
      <w:pPr>
        <w:jc w:val="center"/>
      </w:pPr>
      <w:r>
        <w:rPr>
          <w:rFonts w:ascii="Microsoft YaHei" w:hAnsi="Microsoft YaHei" w:eastAsia="Microsoft YaHei"/>
          <w:b/>
          <w:i w:val="0"/>
          <w:color w:val="1A558F"/>
          <w:sz w:val="24"/>
        </w:rPr>
        <w:t>AFAC 2026 金融智能创新大赛 · 初创组</w:t>
      </w:r>
    </w:p>
    <w:p>
      <w:pPr>
        <w:jc w:val="center"/>
      </w:pPr>
      <w:r>
        <w:rPr>
          <w:rFonts w:ascii="Microsoft YaHei" w:hAnsi="Microsoft YaHei" w:eastAsia="Microsoft YaHei"/>
          <w:b w:val="0"/>
          <w:i w:val="0"/>
          <w:color w:val="666666"/>
          <w:sz w:val="20"/>
        </w:rPr>
        <w:t>项目编号 2026FINTECH-FINT-0093</w:t>
      </w:r>
    </w:p>
    <w:p>
      <w:pPr>
        <w:spacing w:before="1200"/>
        <w:jc w:val="center"/>
      </w:pPr>
      <w:r>
        <w:rPr>
          <w:rFonts w:ascii="Microsoft YaHei" w:hAnsi="Microsoft YaHei" w:eastAsia="Microsoft YaHei"/>
          <w:b/>
          <w:i w:val="0"/>
          <w:color w:val="0A1F44"/>
          <w:sz w:val="72"/>
        </w:rPr>
        <w:t>市 场 竞 争 分 析</w:t>
      </w:r>
    </w:p>
    <w:p>
      <w:pPr>
        <w:jc w:val="center"/>
      </w:pPr>
      <w:r>
        <w:rPr>
          <w:rFonts w:ascii="Microsoft YaHei" w:hAnsi="Microsoft YaHei" w:eastAsia="Microsoft YaHei"/>
          <w:b/>
          <w:i w:val="0"/>
          <w:color w:val="1A558F"/>
          <w:sz w:val="44"/>
        </w:rPr>
        <w:t>QuantInsight Pro</w:t>
      </w:r>
    </w:p>
    <w:p>
      <w:pPr>
        <w:jc w:val="center"/>
      </w:pPr>
      <w:r>
        <w:rPr>
          <w:rFonts w:ascii="Microsoft YaHei" w:hAnsi="Microsoft YaHei" w:eastAsia="Microsoft YaHei"/>
          <w:b w:val="0"/>
          <w:i/>
          <w:color w:val="666666"/>
          <w:sz w:val="26"/>
        </w:rPr>
        <w:t>AI 驱动的另类数据量化投研平台</w:t>
      </w:r>
    </w:p>
    <w:p>
      <w:pPr>
        <w:spacing w:before="800"/>
        <w:jc w:val="center"/>
      </w:pPr>
      <w:r>
        <w:rPr>
          <w:rFonts w:ascii="Microsoft YaHei" w:hAnsi="Microsoft YaHei" w:eastAsia="Microsoft YaHei"/>
          <w:b w:val="0"/>
          <w:i w:val="0"/>
          <w:color w:val="1A558F"/>
          <w:sz w:val="20"/>
        </w:rPr>
        <w:t>━━━━━━━━━━━━━━━━━━━━━━━━━━━━━━</w:t>
      </w:r>
    </w:p>
    <w:p>
      <w:pPr>
        <w:jc w:val="center"/>
      </w:pPr>
      <w:r>
        <w:rPr>
          <w:rFonts w:ascii="Microsoft YaHei" w:hAnsi="Microsoft YaHei" w:eastAsia="Microsoft YaHei"/>
          <w:b/>
          <w:i w:val="0"/>
          <w:color w:val="C0392B"/>
          <w:sz w:val="26"/>
        </w:rPr>
        <w:t>差异化蓝海：5000+ 中小私募长尾市场 + AI 可解释投研</w:t>
      </w:r>
    </w:p>
    <w:p>
      <w:pPr>
        <w:jc w:val="center"/>
      </w:pPr>
      <w:r>
        <w:rPr>
          <w:rFonts w:ascii="Microsoft YaHei" w:hAnsi="Microsoft YaHei" w:eastAsia="Microsoft YaHei"/>
          <w:b w:val="0"/>
          <w:i w:val="0"/>
          <w:color w:val="1A558F"/>
          <w:sz w:val="20"/>
        </w:rPr>
        <w:t>━━━━━━━━━━━━━━━━━━━━━━━━━━━━━━</w:t>
      </w:r>
    </w:p>
    <w:p>
      <w:pPr>
        <w:spacing w:before="800"/>
        <w:jc w:val="center"/>
      </w:pPr>
      <w:r>
        <w:rPr>
          <w:rFonts w:ascii="Microsoft YaHei" w:hAnsi="Microsoft YaHei" w:eastAsia="Microsoft YaHei"/>
          <w:b/>
          <w:i w:val="0"/>
          <w:color w:val="0A1F44"/>
          <w:sz w:val="24"/>
        </w:rPr>
        <w:t>市场空间 200 万亿+  ·  资管科技渗透率 &lt; 5%  ·  5 年 CAGR 30-40%</w:t>
      </w:r>
    </w:p>
    <w:p>
      <w:pPr>
        <w:jc w:val="center"/>
      </w:pPr>
      <w:r>
        <w:rPr>
          <w:rFonts w:ascii="Microsoft YaHei" w:hAnsi="Microsoft YaHei" w:eastAsia="Microsoft YaHei"/>
          <w:b/>
          <w:i w:val="0"/>
          <w:color w:val="666666"/>
          <w:sz w:val="24"/>
        </w:rPr>
        <w:t>Wind / 同花顺 / 恒生主导 80% 头部市场</w:t>
      </w:r>
    </w:p>
    <w:p>
      <w:pPr>
        <w:jc w:val="center"/>
      </w:pPr>
      <w:r>
        <w:rPr>
          <w:rFonts w:ascii="Microsoft YaHei" w:hAnsi="Microsoft YaHei" w:eastAsia="Microsoft YaHei"/>
          <w:b/>
          <w:i w:val="0"/>
          <w:color w:val="C0392B"/>
          <w:sz w:val="24"/>
        </w:rPr>
        <w:t>QuantInsight Pro 切入 5000+ 中小私募长尾蓝海</w:t>
      </w:r>
    </w:p>
    <w:p>
      <w:pPr>
        <w:spacing w:before="1600"/>
        <w:jc w:val="center"/>
      </w:pPr>
      <w:r>
        <w:rPr>
          <w:rFonts w:ascii="Microsoft YaHei" w:hAnsi="Microsoft YaHei" w:eastAsia="Microsoft YaHei"/>
          <w:b w:val="0"/>
          <w:i w:val="0"/>
          <w:color w:val="666666"/>
          <w:sz w:val="20"/>
        </w:rPr>
        <w:t>编制日期：2026 年 7 月</w:t>
      </w:r>
    </w:p>
    <w:p>
      <w:pPr>
        <w:jc w:val="center"/>
      </w:pPr>
      <w:r>
        <w:rPr>
          <w:rFonts w:ascii="Microsoft YaHei" w:hAnsi="Microsoft YaHei" w:eastAsia="Microsoft YaHei"/>
          <w:b w:val="0"/>
          <w:i w:val="0"/>
          <w:color w:val="666666"/>
          <w:sz w:val="20"/>
        </w:rPr>
        <w:t>编制单位：QuantInsight Pro 项目组</w:t>
      </w:r>
    </w:p>
    <w:p>
      <w:r>
        <w:br w:type="page"/>
      </w:r>
    </w:p>
    <w:p>
      <w:pPr>
        <w:spacing w:before="240" w:after="120"/>
      </w:pPr>
      <w:r>
        <w:rPr>
          <w:rFonts w:ascii="Microsoft YaHei" w:hAnsi="Microsoft YaHei" w:eastAsia="Microsoft YaHei"/>
          <w:b/>
          <w:i w:val="0"/>
          <w:color w:val="0A1F44"/>
          <w:sz w:val="30"/>
        </w:rPr>
        <w:t>一、市场规模与增长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中国资管科技市场正处于结构性增长窗口期，受资管新规、AI 大模型、监管沙盒三大趋势叠加推动，5 年 CAGR 预计 30-40%。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i w:val="0"/>
          <w:color w:val="1A558F"/>
          <w:sz w:val="25"/>
        </w:rPr>
        <w:t>1.1 市场规模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2551"/>
            <w:shd w:fill="1A558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指标</w:t>
            </w:r>
          </w:p>
        </w:tc>
        <w:tc>
          <w:tcPr>
            <w:tcW w:type="dxa" w:w="1417"/>
            <w:shd w:fill="1A558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2024</w:t>
            </w:r>
          </w:p>
        </w:tc>
        <w:tc>
          <w:tcPr>
            <w:tcW w:type="dxa" w:w="1417"/>
            <w:shd w:fill="1A558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2025</w:t>
            </w:r>
          </w:p>
        </w:tc>
        <w:tc>
          <w:tcPr>
            <w:tcW w:type="dxa" w:w="1417"/>
            <w:shd w:fill="1A558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2026E</w:t>
            </w:r>
          </w:p>
        </w:tc>
        <w:tc>
          <w:tcPr>
            <w:tcW w:type="dxa" w:w="1417"/>
            <w:shd w:fill="1A558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2030E</w:t>
            </w:r>
          </w:p>
        </w:tc>
        <w:tc>
          <w:tcPr>
            <w:tcW w:type="dxa" w:w="1417"/>
            <w:shd w:fill="1A558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CAGR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中国资管行业总规模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190 万亿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200 万亿+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215 万亿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300 万亿+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8-10%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机构投资者占比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25%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27%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29%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35%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8%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资管科技投入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1000 亿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1300 亿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1700 亿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5000 亿+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30-40%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AI 投研应用渗透率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5%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10%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18%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50%+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60%+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中小私募数量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4500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4800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5200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6500+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8%</w:t>
            </w:r>
          </w:p>
        </w:tc>
      </w:tr>
    </w:tbl>
    <w:p>
      <w:pPr>
        <w:spacing w:before="160" w:after="80"/>
      </w:pPr>
      <w:r>
        <w:rPr>
          <w:rFonts w:ascii="Microsoft YaHei" w:hAnsi="Microsoft YaHei" w:eastAsia="Microsoft YaHei"/>
          <w:b/>
          <w:i w:val="0"/>
          <w:color w:val="1A558F"/>
          <w:sz w:val="25"/>
        </w:rPr>
        <w:t>1.2 市场分层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资管科技市场按客户类型分 3 层：头部机构（券商自营/银行理财子/保险资管/头部公募）、腰部机构（券商资管/中型公募/中型私募）、长尾机构（中小私募/高校/上市公司 IR）。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84"/>
            <w:shd w:fill="1A558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市场分层</w:t>
            </w:r>
          </w:p>
        </w:tc>
        <w:tc>
          <w:tcPr>
            <w:tcW w:type="dxa" w:w="1701"/>
            <w:shd w:fill="1A558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客户规模</w:t>
            </w:r>
          </w:p>
        </w:tc>
        <w:tc>
          <w:tcPr>
            <w:tcW w:type="dxa" w:w="1984"/>
            <w:shd w:fill="1A558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客单价</w:t>
            </w:r>
          </w:p>
        </w:tc>
        <w:tc>
          <w:tcPr>
            <w:tcW w:type="dxa" w:w="1701"/>
            <w:shd w:fill="1A558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总规模</w:t>
            </w:r>
          </w:p>
        </w:tc>
        <w:tc>
          <w:tcPr>
            <w:tcW w:type="dxa" w:w="2268"/>
            <w:shd w:fill="1A558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主要竞争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头部机构 (Top 100)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100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300-1000 万/年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3-10 亿/年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Wind / 同花顺 / 恒生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腰部机构 (100-1000)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900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100-300 万/年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9-27 亿/年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Wind / 同花顺 / 恒生 / 通联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长尾机构 (1000-5000+)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5000+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10-100 万/年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5-50 亿/年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【蓝海·QuantInsight 聚焦】</w:t>
            </w:r>
          </w:p>
        </w:tc>
      </w:tr>
    </w:tbl>
    <w:p>
      <w:r>
        <w:rPr>
          <w:rFonts w:ascii="Microsoft YaHei" w:hAnsi="Microsoft YaHei" w:eastAsia="Microsoft YaHei"/>
          <w:b/>
          <w:i w:val="0"/>
          <w:color w:val="C0392B"/>
          <w:sz w:val="21"/>
        </w:rPr>
        <w:t>★ 关键洞察：腰部+长尾机构总市场 14-77 亿/年，是头部的 1-3 倍，但被 Wind/同花顺长期忽视（年费 80-300 万太贵）。QuantInsight Pro 客单价 50-200 万/年，精准服务 5000+ 中小私募长尾。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i w:val="0"/>
          <w:color w:val="1A558F"/>
          <w:sz w:val="25"/>
        </w:rPr>
        <w:t>1.3 关键趋势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AI 大模型应用：DeepSeek/Qwen 等开源模型降低 AI 应用门槛（90% 业内无 AI 投研智能体）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另类数据爆发：卫星图像/供应链/舆情成为差异化竞争关键（Wind 仅 1-2 类）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监管沙盒落地：北京/上海/深圳/海南自贸港试点（合规驱动型增长）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算法可解释性：证监会算法备案要求推动 SHAP 等可解释 AI 需求（监管刚需）</w:t>
      </w:r>
    </w:p>
    <w:p>
      <w:r>
        <w:br w:type="page"/>
      </w:r>
    </w:p>
    <w:p>
      <w:pPr>
        <w:spacing w:before="240" w:after="120"/>
      </w:pPr>
      <w:r>
        <w:rPr>
          <w:rFonts w:ascii="Microsoft YaHei" w:hAnsi="Microsoft YaHei" w:eastAsia="Microsoft YaHei"/>
          <w:b/>
          <w:i w:val="0"/>
          <w:color w:val="0A1F44"/>
          <w:sz w:val="30"/>
        </w:rPr>
        <w:t>二、竞争格局总览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资管科技市场按业务类型分 5 大赛道：数据/资讯、智能投研、合规风控、量化交易、另类数据。QuantInsight Pro 横跨其中 4 大赛道，是少有的全栈型创业公司。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i w:val="0"/>
          <w:color w:val="1A558F"/>
          <w:sz w:val="25"/>
        </w:rPr>
        <w:t>2.1 5 大赛道竞争图谱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417"/>
            <w:shd w:fill="1A558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赛道</w:t>
            </w:r>
          </w:p>
        </w:tc>
        <w:tc>
          <w:tcPr>
            <w:tcW w:type="dxa" w:w="1417"/>
            <w:shd w:fill="1A558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市场容量</w:t>
            </w:r>
          </w:p>
        </w:tc>
        <w:tc>
          <w:tcPr>
            <w:tcW w:type="dxa" w:w="2835"/>
            <w:shd w:fill="1A558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主要玩家</w:t>
            </w:r>
          </w:p>
        </w:tc>
        <w:tc>
          <w:tcPr>
            <w:tcW w:type="dxa" w:w="1417"/>
            <w:shd w:fill="1A558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竞争激烈度</w:t>
            </w:r>
          </w:p>
        </w:tc>
        <w:tc>
          <w:tcPr>
            <w:tcW w:type="dxa" w:w="2551"/>
            <w:shd w:fill="1A558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QuantInsight 位置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数据/资讯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1000 亿/年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Wind / 同花顺 iFinD / 通联 / 聚源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★★★★★</w:t>
            </w:r>
          </w:p>
        </w:tc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差异化（5 类另类）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智能投研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200 亿/年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通联 / 犀牛 / 香侬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★★★★</w:t>
            </w:r>
          </w:p>
        </w:tc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全栈领先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合规风控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150 亿/年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同盾 / 百融 / 冰鉴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★★★</w:t>
            </w:r>
          </w:p>
        </w:tc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SHAP 差异化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量化交易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300 亿/年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华锐 / 卡方 / 掘金 / 米筐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★★★★</w:t>
            </w:r>
          </w:p>
        </w:tc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开源引擎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另类数据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100 亿/年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通联 / 数库 / 烯牛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★★</w:t>
            </w:r>
          </w:p>
        </w:tc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5 类融合</w:t>
            </w:r>
          </w:p>
        </w:tc>
      </w:tr>
    </w:tbl>
    <w:p>
      <w:pPr>
        <w:spacing w:before="160" w:after="80"/>
      </w:pPr>
      <w:r>
        <w:rPr>
          <w:rFonts w:ascii="Microsoft YaHei" w:hAnsi="Microsoft YaHei" w:eastAsia="Microsoft YaHei"/>
          <w:b/>
          <w:i w:val="0"/>
          <w:color w:val="1A558F"/>
          <w:sz w:val="25"/>
        </w:rPr>
        <w:t>2.2 4 大竞争对手 vs QuantInsight Pro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701"/>
            <w:shd w:fill="1A558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竞争对手</w:t>
            </w:r>
          </w:p>
        </w:tc>
        <w:tc>
          <w:tcPr>
            <w:tcW w:type="dxa" w:w="2268"/>
            <w:shd w:fill="1A558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优势</w:t>
            </w:r>
          </w:p>
        </w:tc>
        <w:tc>
          <w:tcPr>
            <w:tcW w:type="dxa" w:w="2551"/>
            <w:shd w:fill="1A558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劣势</w:t>
            </w:r>
          </w:p>
        </w:tc>
        <w:tc>
          <w:tcPr>
            <w:tcW w:type="dxa" w:w="3118"/>
            <w:shd w:fill="1A558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QuantInsight 差异化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Wind (万得)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品牌强、数据全、80%+ 头部覆盖</w:t>
            </w:r>
          </w:p>
        </w:tc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AI 弱、贵 (80-300 万/年)、9 类客户覆盖弱</w:t>
            </w:r>
          </w:p>
        </w:tc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AI 智能体 + 价格 -50% + 9 类机构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同花顺 iFinD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双覆盖（散户+机构）、用户基数大</w:t>
            </w:r>
          </w:p>
        </w:tc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机构级弱、AI 弱</w:t>
            </w:r>
          </w:p>
        </w:tc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中小私募深度 + SHAP 可解释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恒生电子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基础设施龙头 (UF 系列)、技术稳</w:t>
            </w:r>
          </w:p>
        </w:tc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转型慢、定制化贵、中小机构忽视</w:t>
            </w:r>
          </w:p>
        </w:tc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垂直场景、灵活定价、SaaS 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通联数据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金融数据 + 智能投研</w:t>
            </w:r>
          </w:p>
        </w:tc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AI 弱、机构级弱、价格偏高</w:t>
            </w:r>
          </w:p>
        </w:tc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AI 全栈 + 价格 -40%</w:t>
            </w:r>
          </w:p>
        </w:tc>
      </w:tr>
    </w:tbl>
    <w:p>
      <w:r>
        <w:br w:type="page"/>
      </w:r>
    </w:p>
    <w:p>
      <w:pPr>
        <w:spacing w:before="240" w:after="120"/>
      </w:pPr>
      <w:r>
        <w:rPr>
          <w:rFonts w:ascii="Microsoft YaHei" w:hAnsi="Microsoft YaHei" w:eastAsia="Microsoft YaHei"/>
          <w:b/>
          <w:i w:val="0"/>
          <w:color w:val="0A1F44"/>
          <w:sz w:val="30"/>
        </w:rPr>
        <w:t>三、6 类竞争对手详细分析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i w:val="0"/>
          <w:color w:val="1A558F"/>
          <w:sz w:val="25"/>
        </w:rPr>
        <w:t>3.1 Wind（万得信息）— 数据龙头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268"/>
            <w:shd w:fill="1A558F"/>
          </w:tcPr>
          <w:p>
            <w:pPr>
              <w:spacing w:before="8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1"/>
              </w:rPr>
              <w:t>市场地位</w:t>
            </w:r>
          </w:p>
        </w:tc>
        <w:tc>
          <w:tcPr>
            <w:tcW w:type="dxa" w:w="7370"/>
            <w:shd w:fill="F4F8FC"/>
          </w:tcPr>
          <w:p>
            <w:pPr>
              <w:spacing w:before="8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A1F44"/>
                <w:sz w:val="21"/>
              </w:rPr>
              <w:t>中国金融数据绝对龙头，机构客户 80%+ 覆盖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268"/>
            <w:shd w:fill="1A558F"/>
          </w:tcPr>
          <w:p>
            <w:pPr>
              <w:spacing w:before="8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1"/>
              </w:rPr>
              <w:t>核心产品</w:t>
            </w:r>
          </w:p>
        </w:tc>
        <w:tc>
          <w:tcPr>
            <w:tcW w:type="dxa" w:w="7370"/>
            <w:shd w:fill="F4F8FC"/>
          </w:tcPr>
          <w:p>
            <w:pPr>
              <w:spacing w:before="8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A1F44"/>
                <w:sz w:val="21"/>
              </w:rPr>
              <w:t>Wind 金融终端 / Wind 数据 API / ESG 评级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268"/>
            <w:shd w:fill="1A558F"/>
          </w:tcPr>
          <w:p>
            <w:pPr>
              <w:spacing w:before="8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1"/>
              </w:rPr>
              <w:t>价格</w:t>
            </w:r>
          </w:p>
        </w:tc>
        <w:tc>
          <w:tcPr>
            <w:tcW w:type="dxa" w:w="7370"/>
            <w:shd w:fill="F4F8FC"/>
          </w:tcPr>
          <w:p>
            <w:pPr>
              <w:spacing w:before="8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A1F44"/>
                <w:sz w:val="21"/>
              </w:rPr>
              <w:t>机构版 80-300 万/年，个人版 1-3 万/年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268"/>
            <w:shd w:fill="1A558F"/>
          </w:tcPr>
          <w:p>
            <w:pPr>
              <w:spacing w:before="8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1"/>
              </w:rPr>
              <w:t>客户</w:t>
            </w:r>
          </w:p>
        </w:tc>
        <w:tc>
          <w:tcPr>
            <w:tcW w:type="dxa" w:w="7370"/>
            <w:shd w:fill="F4F8FC"/>
          </w:tcPr>
          <w:p>
            <w:pPr>
              <w:spacing w:before="8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A1F44"/>
                <w:sz w:val="21"/>
              </w:rPr>
              <w:t>头部券商自营、银行理财子、保险资管、公募</w:t>
            </w:r>
          </w:p>
        </w:tc>
      </w:tr>
    </w:tbl>
    <w:p/>
    <w:p>
      <w:r>
        <w:rPr>
          <w:rFonts w:ascii="Microsoft YaHei" w:hAnsi="Microsoft YaHei" w:eastAsia="Microsoft YaHei"/>
          <w:b/>
          <w:i w:val="0"/>
          <w:color w:val="0A1F44"/>
          <w:sz w:val="22"/>
        </w:rPr>
        <w:t>优势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数据全：覆盖股票/债券/期货/外汇/另类数据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品牌强：金融行业事实标准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机构客户粘性高：转换成本极高</w:t>
      </w:r>
    </w:p>
    <w:p>
      <w:r>
        <w:rPr>
          <w:rFonts w:ascii="Microsoft YaHei" w:hAnsi="Microsoft YaHei" w:eastAsia="Microsoft YaHei"/>
          <w:b/>
          <w:i w:val="0"/>
          <w:color w:val="0A1F44"/>
          <w:sz w:val="22"/>
        </w:rPr>
        <w:t>劣势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AI 弱：传统数据公司，AI 投研智能体 2023 才起步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贵：80-300 万/年，中小私募买不起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客户覆盖窄：聚焦头部，长尾市场忽视</w:t>
      </w:r>
    </w:p>
    <w:p>
      <w:r>
        <w:rPr>
          <w:rFonts w:ascii="Microsoft YaHei" w:hAnsi="Microsoft YaHei" w:eastAsia="Microsoft YaHei"/>
          <w:b/>
          <w:i w:val="0"/>
          <w:color w:val="0A1F44"/>
          <w:sz w:val="22"/>
        </w:rPr>
        <w:t>QuantInsight 应对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AI 全栈领先：DeepSeek/Qwen + RAG + SHAP 5 类算法融合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价格 -50%：50-200 万/年，瞄准长尾市场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9 类机构全覆盖：中小私募/银行/保险/券商/信托等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i w:val="0"/>
          <w:color w:val="1A558F"/>
          <w:sz w:val="25"/>
        </w:rPr>
        <w:t>3.2 同花顺 iFinD — 双覆盖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268"/>
            <w:shd w:fill="1A558F"/>
          </w:tcPr>
          <w:p>
            <w:pPr>
              <w:spacing w:before="8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1"/>
              </w:rPr>
              <w:t>市场地位</w:t>
            </w:r>
          </w:p>
        </w:tc>
        <w:tc>
          <w:tcPr>
            <w:tcW w:type="dxa" w:w="7370"/>
            <w:shd w:fill="F4F8FC"/>
          </w:tcPr>
          <w:p>
            <w:pPr>
              <w:spacing w:before="8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A1F44"/>
                <w:sz w:val="21"/>
              </w:rPr>
              <w:t>金融数据双覆盖（散户 + 机构），用户基数大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268"/>
            <w:shd w:fill="1A558F"/>
          </w:tcPr>
          <w:p>
            <w:pPr>
              <w:spacing w:before="8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1"/>
              </w:rPr>
              <w:t>核心产品</w:t>
            </w:r>
          </w:p>
        </w:tc>
        <w:tc>
          <w:tcPr>
            <w:tcW w:type="dxa" w:w="7370"/>
            <w:shd w:fill="F4F8FC"/>
          </w:tcPr>
          <w:p>
            <w:pPr>
              <w:spacing w:before="8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A1F44"/>
                <w:sz w:val="21"/>
              </w:rPr>
              <w:t>iFinD 金融终端 / 同花顺 App / 智能投顾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268"/>
            <w:shd w:fill="1A558F"/>
          </w:tcPr>
          <w:p>
            <w:pPr>
              <w:spacing w:before="8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1"/>
              </w:rPr>
              <w:t>价格</w:t>
            </w:r>
          </w:p>
        </w:tc>
        <w:tc>
          <w:tcPr>
            <w:tcW w:type="dxa" w:w="7370"/>
            <w:shd w:fill="F4F8FC"/>
          </w:tcPr>
          <w:p>
            <w:pPr>
              <w:spacing w:before="8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A1F44"/>
                <w:sz w:val="21"/>
              </w:rPr>
              <w:t>机构版 30-100 万/年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268"/>
            <w:shd w:fill="1A558F"/>
          </w:tcPr>
          <w:p>
            <w:pPr>
              <w:spacing w:before="8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1"/>
              </w:rPr>
              <w:t>客户</w:t>
            </w:r>
          </w:p>
        </w:tc>
        <w:tc>
          <w:tcPr>
            <w:tcW w:type="dxa" w:w="7370"/>
            <w:shd w:fill="F4F8FC"/>
          </w:tcPr>
          <w:p>
            <w:pPr>
              <w:spacing w:before="8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A1F44"/>
                <w:sz w:val="21"/>
              </w:rPr>
              <w:t>中小券商/中小私募/散户投资者</w:t>
            </w:r>
          </w:p>
        </w:tc>
      </w:tr>
    </w:tbl>
    <w:p>
      <w:r>
        <w:rPr>
          <w:rFonts w:ascii="Microsoft YaHei" w:hAnsi="Microsoft YaHei" w:eastAsia="Microsoft YaHei"/>
          <w:b/>
          <w:i w:val="0"/>
          <w:color w:val="0A1F44"/>
          <w:sz w:val="22"/>
        </w:rPr>
        <w:t>优势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双覆盖：散户 + 机构都覆盖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用户基数：1 亿+ 散户用户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性价比：比 Wind 便宜 60-70%</w:t>
      </w:r>
    </w:p>
    <w:p>
      <w:r>
        <w:rPr>
          <w:rFonts w:ascii="Microsoft YaHei" w:hAnsi="Microsoft YaHei" w:eastAsia="Microsoft YaHei"/>
          <w:b/>
          <w:i w:val="0"/>
          <w:color w:val="0A1F44"/>
          <w:sz w:val="22"/>
        </w:rPr>
        <w:t>劣势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机构级弱：核心功能仍偏散户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AI 弱：智能投顾还在早期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9 类机构深度不足</w:t>
      </w:r>
    </w:p>
    <w:p>
      <w:r>
        <w:rPr>
          <w:rFonts w:ascii="Microsoft YaHei" w:hAnsi="Microsoft YaHei" w:eastAsia="Microsoft YaHei"/>
          <w:b/>
          <w:i w:val="0"/>
          <w:color w:val="0A1F44"/>
          <w:sz w:val="22"/>
        </w:rPr>
        <w:t>QuantInsight 应对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机构级深度：投研 + 合规 + 风控全栈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SHAP 可解释：算法备案刚需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9 类机构深度覆盖（vs 同花顺散户导向）</w:t>
      </w:r>
    </w:p>
    <w:p>
      <w:r>
        <w:br w:type="page"/>
      </w:r>
    </w:p>
    <w:p>
      <w:pPr>
        <w:spacing w:before="160" w:after="80"/>
      </w:pPr>
      <w:r>
        <w:rPr>
          <w:rFonts w:ascii="Microsoft YaHei" w:hAnsi="Microsoft YaHei" w:eastAsia="Microsoft YaHei"/>
          <w:b/>
          <w:i w:val="0"/>
          <w:color w:val="1A558F"/>
          <w:sz w:val="25"/>
        </w:rPr>
        <w:t>3.3 恒生电子 — 基础设施龙头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268"/>
            <w:shd w:fill="1A558F"/>
          </w:tcPr>
          <w:p>
            <w:pPr>
              <w:spacing w:before="8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1"/>
              </w:rPr>
              <w:t>市场地位</w:t>
            </w:r>
          </w:p>
        </w:tc>
        <w:tc>
          <w:tcPr>
            <w:tcW w:type="dxa" w:w="7370"/>
            <w:shd w:fill="F4F8FC"/>
          </w:tcPr>
          <w:p>
            <w:pPr>
              <w:spacing w:before="8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A1F44"/>
                <w:sz w:val="21"/>
              </w:rPr>
              <w:t>中国资本市场 IT 基础设施绝对龙头，市值 800 亿+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268"/>
            <w:shd w:fill="1A558F"/>
          </w:tcPr>
          <w:p>
            <w:pPr>
              <w:spacing w:before="8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1"/>
              </w:rPr>
              <w:t>核心产品</w:t>
            </w:r>
          </w:p>
        </w:tc>
        <w:tc>
          <w:tcPr>
            <w:tcW w:type="dxa" w:w="7370"/>
            <w:shd w:fill="F4F8FC"/>
          </w:tcPr>
          <w:p>
            <w:pPr>
              <w:spacing w:before="8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A1F44"/>
                <w:sz w:val="21"/>
              </w:rPr>
              <w:t>UF 系列（券商核心系统）/ 投资管理系统 / O32 资管运营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268"/>
            <w:shd w:fill="1A558F"/>
          </w:tcPr>
          <w:p>
            <w:pPr>
              <w:spacing w:before="8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1"/>
              </w:rPr>
              <w:t>价格</w:t>
            </w:r>
          </w:p>
        </w:tc>
        <w:tc>
          <w:tcPr>
            <w:tcW w:type="dxa" w:w="7370"/>
            <w:shd w:fill="F4F8FC"/>
          </w:tcPr>
          <w:p>
            <w:pPr>
              <w:spacing w:before="8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A1F44"/>
                <w:sz w:val="21"/>
              </w:rPr>
              <w:t>项目制 100 万 - 几千万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268"/>
            <w:shd w:fill="1A558F"/>
          </w:tcPr>
          <w:p>
            <w:pPr>
              <w:spacing w:before="8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1"/>
              </w:rPr>
              <w:t>客户</w:t>
            </w:r>
          </w:p>
        </w:tc>
        <w:tc>
          <w:tcPr>
            <w:tcW w:type="dxa" w:w="7370"/>
            <w:shd w:fill="F4F8FC"/>
          </w:tcPr>
          <w:p>
            <w:pPr>
              <w:spacing w:before="8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A1F44"/>
                <w:sz w:val="21"/>
              </w:rPr>
              <w:t>所有券商、90%+ 银行理财子、80%+ 保险资管</w:t>
            </w:r>
          </w:p>
        </w:tc>
      </w:tr>
    </w:tbl>
    <w:p>
      <w:r>
        <w:rPr>
          <w:rFonts w:ascii="Microsoft YaHei" w:hAnsi="Microsoft YaHei" w:eastAsia="Microsoft YaHei"/>
          <w:b/>
          <w:i w:val="0"/>
          <w:color w:val="0A1F44"/>
          <w:sz w:val="22"/>
        </w:rPr>
        <w:t>优势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基础设施龙头：技术稳、客户粘性极高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头部客户全覆盖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技术积累深：30+ 年金融科技</w:t>
      </w:r>
    </w:p>
    <w:p>
      <w:r>
        <w:rPr>
          <w:rFonts w:ascii="Microsoft YaHei" w:hAnsi="Microsoft YaHei" w:eastAsia="Microsoft YaHei"/>
          <w:b/>
          <w:i w:val="0"/>
          <w:color w:val="0A1F44"/>
          <w:sz w:val="22"/>
        </w:rPr>
        <w:t>劣势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转型慢：传统软件公司，AI 转型慢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定制化贵：项目制收费，中小机构用不起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SaaS 化弱：偏重私有部署</w:t>
      </w:r>
    </w:p>
    <w:p>
      <w:r>
        <w:rPr>
          <w:rFonts w:ascii="Microsoft YaHei" w:hAnsi="Microsoft YaHei" w:eastAsia="Microsoft YaHei"/>
          <w:b/>
          <w:i w:val="0"/>
          <w:color w:val="0A1F44"/>
          <w:sz w:val="22"/>
        </w:rPr>
        <w:t>QuantInsight 应对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垂直场景：投研场景（恒生强在交易运营）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灵活定价：SaaS 订阅 + 私有化双模式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AI 差异化：DeepSeek/Qwen 微调领先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i w:val="0"/>
          <w:color w:val="1A558F"/>
          <w:sz w:val="25"/>
        </w:rPr>
        <w:t>3.4 华锐 / 卡方 — 量化基础设施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268"/>
            <w:shd w:fill="1A558F"/>
          </w:tcPr>
          <w:p>
            <w:pPr>
              <w:spacing w:before="8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1"/>
              </w:rPr>
              <w:t>市场地位</w:t>
            </w:r>
          </w:p>
        </w:tc>
        <w:tc>
          <w:tcPr>
            <w:tcW w:type="dxa" w:w="7370"/>
            <w:shd w:fill="F4F8FC"/>
          </w:tcPr>
          <w:p>
            <w:pPr>
              <w:spacing w:before="8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A1F44"/>
                <w:sz w:val="21"/>
              </w:rPr>
              <w:t>量化交易基础设施新锐，私募客户为主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268"/>
            <w:shd w:fill="1A558F"/>
          </w:tcPr>
          <w:p>
            <w:pPr>
              <w:spacing w:before="8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1"/>
              </w:rPr>
              <w:t>核心产品</w:t>
            </w:r>
          </w:p>
        </w:tc>
        <w:tc>
          <w:tcPr>
            <w:tcW w:type="dxa" w:w="7370"/>
            <w:shd w:fill="F4F8FC"/>
          </w:tcPr>
          <w:p>
            <w:pPr>
              <w:spacing w:before="8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A1F44"/>
                <w:sz w:val="21"/>
              </w:rPr>
              <w:t>华锐 AMP / 卡方 ATC（算法交易）/ 回测平台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268"/>
            <w:shd w:fill="1A558F"/>
          </w:tcPr>
          <w:p>
            <w:pPr>
              <w:spacing w:before="8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1"/>
              </w:rPr>
              <w:t>价格</w:t>
            </w:r>
          </w:p>
        </w:tc>
        <w:tc>
          <w:tcPr>
            <w:tcW w:type="dxa" w:w="7370"/>
            <w:shd w:fill="F4F8FC"/>
          </w:tcPr>
          <w:p>
            <w:pPr>
              <w:spacing w:before="8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A1F44"/>
                <w:sz w:val="21"/>
              </w:rPr>
              <w:t>20-100 万/年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268"/>
            <w:shd w:fill="1A558F"/>
          </w:tcPr>
          <w:p>
            <w:pPr>
              <w:spacing w:before="8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1"/>
              </w:rPr>
              <w:t>客户</w:t>
            </w:r>
          </w:p>
        </w:tc>
        <w:tc>
          <w:tcPr>
            <w:tcW w:type="dxa" w:w="7370"/>
            <w:shd w:fill="F4F8FC"/>
          </w:tcPr>
          <w:p>
            <w:pPr>
              <w:spacing w:before="8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A1F44"/>
                <w:sz w:val="21"/>
              </w:rPr>
              <w:t>量化私募（管理规模 5-50 亿）</w:t>
            </w:r>
          </w:p>
        </w:tc>
      </w:tr>
    </w:tbl>
    <w:p>
      <w:r>
        <w:rPr>
          <w:rFonts w:ascii="Microsoft YaHei" w:hAnsi="Microsoft YaHei" w:eastAsia="Microsoft YaHei"/>
          <w:b/>
          <w:i w:val="0"/>
          <w:color w:val="0A1F44"/>
          <w:sz w:val="22"/>
        </w:rPr>
        <w:t>优势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量化技术深：专注算法交易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私募客户认可度高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技术性能优：低延迟、高并发</w:t>
      </w:r>
    </w:p>
    <w:p>
      <w:r>
        <w:rPr>
          <w:rFonts w:ascii="Microsoft YaHei" w:hAnsi="Microsoft YaHei" w:eastAsia="Microsoft YaHei"/>
          <w:b/>
          <w:i w:val="0"/>
          <w:color w:val="0A1F44"/>
          <w:sz w:val="22"/>
        </w:rPr>
        <w:t>劣势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AI 弱：无 AI 投研智能体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数据贵：依赖 Wind 等三方数据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无 SHAP 等可解释性</w:t>
      </w:r>
    </w:p>
    <w:p>
      <w:r>
        <w:rPr>
          <w:rFonts w:ascii="Microsoft YaHei" w:hAnsi="Microsoft YaHei" w:eastAsia="Microsoft YaHei"/>
          <w:b/>
          <w:i w:val="0"/>
          <w:color w:val="0A1F44"/>
          <w:sz w:val="22"/>
        </w:rPr>
        <w:t>QuantInsight 应对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AI 智能体领先：DeepSeek/Qwen + RAG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SHAP 可解释：算法备案刚需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5 类另类数据：自有数据 + 开源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开源回测引擎：MIT License，7 单元测试 100%</w:t>
      </w:r>
    </w:p>
    <w:p>
      <w:r>
        <w:br w:type="page"/>
      </w:r>
    </w:p>
    <w:p>
      <w:pPr>
        <w:spacing w:before="160" w:after="80"/>
      </w:pPr>
      <w:r>
        <w:rPr>
          <w:rFonts w:ascii="Microsoft YaHei" w:hAnsi="Microsoft YaHei" w:eastAsia="Microsoft YaHei"/>
          <w:b/>
          <w:i w:val="0"/>
          <w:color w:val="1A558F"/>
          <w:sz w:val="25"/>
        </w:rPr>
        <w:t>3.5 同盾 / 百融 / 冰鉴 — 合规风控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268"/>
            <w:shd w:fill="1A558F"/>
          </w:tcPr>
          <w:p>
            <w:pPr>
              <w:spacing w:before="8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1"/>
              </w:rPr>
              <w:t>市场地位</w:t>
            </w:r>
          </w:p>
        </w:tc>
        <w:tc>
          <w:tcPr>
            <w:tcW w:type="dxa" w:w="7370"/>
            <w:shd w:fill="F4F8FC"/>
          </w:tcPr>
          <w:p>
            <w:pPr>
              <w:spacing w:before="8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A1F44"/>
                <w:sz w:val="21"/>
              </w:rPr>
              <w:t>金融风控头部，主要服务银行/消金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268"/>
            <w:shd w:fill="1A558F"/>
          </w:tcPr>
          <w:p>
            <w:pPr>
              <w:spacing w:before="8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1"/>
              </w:rPr>
              <w:t>核心产品</w:t>
            </w:r>
          </w:p>
        </w:tc>
        <w:tc>
          <w:tcPr>
            <w:tcW w:type="dxa" w:w="7370"/>
            <w:shd w:fill="F4F8FC"/>
          </w:tcPr>
          <w:p>
            <w:pPr>
              <w:spacing w:before="8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A1F44"/>
                <w:sz w:val="21"/>
              </w:rPr>
              <w:t>智能风控 / 反欺诈 / 信用评分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268"/>
            <w:shd w:fill="1A558F"/>
          </w:tcPr>
          <w:p>
            <w:pPr>
              <w:spacing w:before="8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1"/>
              </w:rPr>
              <w:t>价格</w:t>
            </w:r>
          </w:p>
        </w:tc>
        <w:tc>
          <w:tcPr>
            <w:tcW w:type="dxa" w:w="7370"/>
            <w:shd w:fill="F4F8FC"/>
          </w:tcPr>
          <w:p>
            <w:pPr>
              <w:spacing w:before="8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A1F44"/>
                <w:sz w:val="21"/>
              </w:rPr>
              <w:t>项目制 50-500 万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268"/>
            <w:shd w:fill="1A558F"/>
          </w:tcPr>
          <w:p>
            <w:pPr>
              <w:spacing w:before="8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1"/>
              </w:rPr>
              <w:t>客户</w:t>
            </w:r>
          </w:p>
        </w:tc>
        <w:tc>
          <w:tcPr>
            <w:tcW w:type="dxa" w:w="7370"/>
            <w:shd w:fill="F4F8FC"/>
          </w:tcPr>
          <w:p>
            <w:pPr>
              <w:spacing w:before="8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A1F44"/>
                <w:sz w:val="21"/>
              </w:rPr>
              <w:t>银行、消金、保险</w:t>
            </w:r>
          </w:p>
        </w:tc>
      </w:tr>
    </w:tbl>
    <w:p>
      <w:r>
        <w:rPr>
          <w:rFonts w:ascii="Microsoft YaHei" w:hAnsi="Microsoft YaHei" w:eastAsia="Microsoft YaHei"/>
          <w:b/>
          <w:i w:val="0"/>
          <w:color w:val="0A1F44"/>
          <w:sz w:val="22"/>
        </w:rPr>
        <w:t>优势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风控算法深：反欺诈、信用评分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银行客户认可度高</w:t>
      </w:r>
    </w:p>
    <w:p>
      <w:r>
        <w:rPr>
          <w:rFonts w:ascii="Microsoft YaHei" w:hAnsi="Microsoft YaHei" w:eastAsia="Microsoft YaHei"/>
          <w:b/>
          <w:i w:val="0"/>
          <w:color w:val="0A1F44"/>
          <w:sz w:val="22"/>
        </w:rPr>
        <w:t>劣势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投研弱：无 AI 投研智能体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风控≠投研：业务场景不同</w:t>
      </w:r>
    </w:p>
    <w:p>
      <w:r>
        <w:rPr>
          <w:rFonts w:ascii="Microsoft YaHei" w:hAnsi="Microsoft YaHei" w:eastAsia="Microsoft YaHei"/>
          <w:b/>
          <w:i w:val="0"/>
          <w:color w:val="0A1F44"/>
          <w:sz w:val="22"/>
        </w:rPr>
        <w:t>QuantInsight 应对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投研 + 风控双能力：投研场景（智能选股）+ 风控场景（合规报送）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SHAP 可解释：投研+风控通用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i w:val="0"/>
          <w:color w:val="1A558F"/>
          <w:sz w:val="25"/>
        </w:rPr>
        <w:t>3.6 通联数据 / 犀牛 / 香侬 — 智能投研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268"/>
            <w:shd w:fill="1A558F"/>
          </w:tcPr>
          <w:p>
            <w:pPr>
              <w:spacing w:before="8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1"/>
              </w:rPr>
              <w:t>市场地位</w:t>
            </w:r>
          </w:p>
        </w:tc>
        <w:tc>
          <w:tcPr>
            <w:tcW w:type="dxa" w:w="7370"/>
            <w:shd w:fill="F4F8FC"/>
          </w:tcPr>
          <w:p>
            <w:pPr>
              <w:spacing w:before="8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A1F44"/>
                <w:sz w:val="21"/>
              </w:rPr>
              <w:t>智能投研新锐，AI 投研早期探索者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268"/>
            <w:shd w:fill="1A558F"/>
          </w:tcPr>
          <w:p>
            <w:pPr>
              <w:spacing w:before="8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1"/>
              </w:rPr>
              <w:t>核心产品</w:t>
            </w:r>
          </w:p>
        </w:tc>
        <w:tc>
          <w:tcPr>
            <w:tcW w:type="dxa" w:w="7370"/>
            <w:shd w:fill="F4F8FC"/>
          </w:tcPr>
          <w:p>
            <w:pPr>
              <w:spacing w:before="8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A1F44"/>
                <w:sz w:val="21"/>
              </w:rPr>
              <w:t>通联智能投研 / 犀牛智投 / 香侬 AI 金融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268"/>
            <w:shd w:fill="1A558F"/>
          </w:tcPr>
          <w:p>
            <w:pPr>
              <w:spacing w:before="8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1"/>
              </w:rPr>
              <w:t>价格</w:t>
            </w:r>
          </w:p>
        </w:tc>
        <w:tc>
          <w:tcPr>
            <w:tcW w:type="dxa" w:w="7370"/>
            <w:shd w:fill="F4F8FC"/>
          </w:tcPr>
          <w:p>
            <w:pPr>
              <w:spacing w:before="8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A1F44"/>
                <w:sz w:val="21"/>
              </w:rPr>
              <w:t>30-100 万/年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268"/>
            <w:shd w:fill="1A558F"/>
          </w:tcPr>
          <w:p>
            <w:pPr>
              <w:spacing w:before="8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1"/>
              </w:rPr>
              <w:t>客户</w:t>
            </w:r>
          </w:p>
        </w:tc>
        <w:tc>
          <w:tcPr>
            <w:tcW w:type="dxa" w:w="7370"/>
            <w:shd w:fill="F4F8FC"/>
          </w:tcPr>
          <w:p>
            <w:pPr>
              <w:spacing w:before="8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A1F44"/>
                <w:sz w:val="21"/>
              </w:rPr>
              <w:t>中型私募/券商研究所</w:t>
            </w:r>
          </w:p>
        </w:tc>
      </w:tr>
    </w:tbl>
    <w:p>
      <w:r>
        <w:rPr>
          <w:rFonts w:ascii="Microsoft YaHei" w:hAnsi="Microsoft YaHei" w:eastAsia="Microsoft YaHei"/>
          <w:b/>
          <w:i w:val="0"/>
          <w:color w:val="0A1F44"/>
          <w:sz w:val="22"/>
        </w:rPr>
        <w:t>优势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AI 探索早：金融 NLP、智能问答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技术团队强</w:t>
      </w:r>
    </w:p>
    <w:p>
      <w:r>
        <w:rPr>
          <w:rFonts w:ascii="Microsoft YaHei" w:hAnsi="Microsoft YaHei" w:eastAsia="Microsoft YaHei"/>
          <w:b/>
          <w:i w:val="0"/>
          <w:color w:val="0A1F44"/>
          <w:sz w:val="22"/>
        </w:rPr>
        <w:t>劣势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机构客户基础弱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SHAP 等可解释性不足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回测数据未公开</w:t>
      </w:r>
    </w:p>
    <w:p>
      <w:r>
        <w:rPr>
          <w:rFonts w:ascii="Microsoft YaHei" w:hAnsi="Microsoft YaHei" w:eastAsia="Microsoft YaHei"/>
          <w:b/>
          <w:i w:val="0"/>
          <w:color w:val="0A1F44"/>
          <w:sz w:val="22"/>
        </w:rPr>
        <w:t>QuantInsight 应对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机构级深度：4 重合规体系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SHAP 业内独家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11.4 年开源回测数据真实可查</w:t>
      </w:r>
    </w:p>
    <w:p>
      <w:r>
        <w:br w:type="page"/>
      </w:r>
    </w:p>
    <w:p>
      <w:pPr>
        <w:spacing w:before="240" w:after="120"/>
      </w:pPr>
      <w:r>
        <w:rPr>
          <w:rFonts w:ascii="Microsoft YaHei" w:hAnsi="Microsoft YaHei" w:eastAsia="Microsoft YaHei"/>
          <w:b/>
          <w:i w:val="0"/>
          <w:color w:val="0A1F44"/>
          <w:sz w:val="30"/>
        </w:rPr>
        <w:t>四、QuantInsight Pro 差异化定位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i w:val="0"/>
          <w:color w:val="1A558F"/>
          <w:sz w:val="25"/>
        </w:rPr>
        <w:t>4.1 5 大差异化优势（与 4 大竞争对手对比）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84"/>
            <w:shd w:fill="1A558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能力维度</w:t>
            </w:r>
          </w:p>
        </w:tc>
        <w:tc>
          <w:tcPr>
            <w:tcW w:type="dxa" w:w="1701"/>
            <w:shd w:fill="1A558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Wind</w:t>
            </w:r>
          </w:p>
        </w:tc>
        <w:tc>
          <w:tcPr>
            <w:tcW w:type="dxa" w:w="1701"/>
            <w:shd w:fill="1A558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同花顺</w:t>
            </w:r>
          </w:p>
        </w:tc>
        <w:tc>
          <w:tcPr>
            <w:tcW w:type="dxa" w:w="1701"/>
            <w:shd w:fill="1A558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恒生</w:t>
            </w:r>
          </w:p>
        </w:tc>
        <w:tc>
          <w:tcPr>
            <w:tcW w:type="dxa" w:w="2551"/>
            <w:shd w:fill="1A558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QuantInsight Pro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AI 投研智能体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弱 (起步)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弱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中</w:t>
            </w:r>
          </w:p>
        </w:tc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★ 强 (DeepSeek/Qwen + RAG)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SHAP 可解释性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无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无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无</w:t>
            </w:r>
          </w:p>
        </w:tc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★ 业内独家 (17 因子归因)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5 类另类数据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1-2 类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2 类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1 类</w:t>
            </w:r>
          </w:p>
        </w:tc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★ 5 类融合 (财报/舆情/产业链/消费行为)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开源回测引擎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黑盒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黑盒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黑盒</w:t>
            </w:r>
          </w:p>
        </w:tc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★ MIT License + 7 单元测试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中小私募深度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弱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中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弱</w:t>
            </w:r>
          </w:p>
        </w:tc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★ 强 (50-200 万/年)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9 类机构覆盖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3 类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3 类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5 类</w:t>
            </w:r>
          </w:p>
        </w:tc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★ 9 类全覆盖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AI 中文理解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60%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55%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65%</w:t>
            </w:r>
          </w:p>
        </w:tc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★ 80%+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价格 (中小私募)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80-300 万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30-100 万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100-500 万</w:t>
            </w:r>
          </w:p>
        </w:tc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★ 50-200 万 (性价比)</w:t>
            </w:r>
          </w:p>
        </w:tc>
      </w:tr>
    </w:tbl>
    <w:p>
      <w:pPr>
        <w:spacing w:before="160" w:after="80"/>
      </w:pPr>
      <w:r>
        <w:rPr>
          <w:rFonts w:ascii="Microsoft YaHei" w:hAnsi="Microsoft YaHei" w:eastAsia="Microsoft YaHei"/>
          <w:b/>
          <w:i w:val="0"/>
          <w:color w:val="1A558F"/>
          <w:sz w:val="25"/>
        </w:rPr>
        <w:t>4.2 差异化定位矩阵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X 轴 = AI 能力（弱→强），Y 轴 = 中小机构覆盖（弱→强）：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835"/>
            <w:shd w:fill="1A558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象限</w:t>
            </w:r>
          </w:p>
        </w:tc>
        <w:tc>
          <w:tcPr>
            <w:tcW w:type="dxa" w:w="3969"/>
            <w:shd w:fill="1A558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特征</w:t>
            </w:r>
          </w:p>
        </w:tc>
        <w:tc>
          <w:tcPr>
            <w:tcW w:type="dxa" w:w="2835"/>
            <w:shd w:fill="1A558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代表公司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左上 (AI 强 + 中小弱)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服务头部，技术强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Wind / 同花顺 / 通联 / 香侬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右上 (AI 强 + 中小强)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全栈+长尾蓝海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★ QuantInsight Pro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左下 (AI 弱 + 中小弱)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传统型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恒生 / 通联部分业务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右下 (AI 弱 + 中小强)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性价比型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华锐 / 卡方 / 同花顺部分</w:t>
            </w:r>
          </w:p>
        </w:tc>
      </w:tr>
    </w:tbl>
    <w:p>
      <w:r>
        <w:rPr>
          <w:rFonts w:ascii="Microsoft YaHei" w:hAnsi="Microsoft YaHei" w:eastAsia="Microsoft YaHei"/>
          <w:b/>
          <w:i w:val="0"/>
          <w:color w:val="C0392B"/>
          <w:sz w:val="21"/>
        </w:rPr>
        <w:t>★ QuantInsight Pro 位于「右上象限」——是当前市场中唯一 AI 强 + 中小机构覆盖强的玩家。</w:t>
      </w:r>
    </w:p>
    <w:p>
      <w:r>
        <w:br w:type="page"/>
      </w:r>
    </w:p>
    <w:p>
      <w:pPr>
        <w:spacing w:before="240" w:after="120"/>
      </w:pPr>
      <w:r>
        <w:rPr>
          <w:rFonts w:ascii="Microsoft YaHei" w:hAnsi="Microsoft YaHei" w:eastAsia="Microsoft YaHei"/>
          <w:b/>
          <w:i w:val="0"/>
          <w:color w:val="0A1F44"/>
          <w:sz w:val="30"/>
        </w:rPr>
        <w:t>五、波特五力模型分析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i w:val="0"/>
          <w:color w:val="1A558F"/>
          <w:sz w:val="25"/>
        </w:rPr>
        <w:t>5.1 5 力评级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268"/>
            <w:shd w:fill="1A558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竞争力量</w:t>
            </w:r>
          </w:p>
        </w:tc>
        <w:tc>
          <w:tcPr>
            <w:tcW w:type="dxa" w:w="1417"/>
            <w:shd w:fill="1A558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强度</w:t>
            </w:r>
          </w:p>
        </w:tc>
        <w:tc>
          <w:tcPr>
            <w:tcW w:type="dxa" w:w="5953"/>
            <w:shd w:fill="1A558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现有竞争对手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★★★★ (高)</w:t>
            </w:r>
          </w:p>
        </w:tc>
        <w:tc>
          <w:tcPr>
            <w:tcW w:type="dxa" w:w="5953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Wind/同花顺/恒生 3 强格局，新进入者需差异化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潜在进入者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★★★ (中)</w:t>
            </w:r>
          </w:p>
        </w:tc>
        <w:tc>
          <w:tcPr>
            <w:tcW w:type="dxa" w:w="5953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AI 创业公司 12-18 月窗口期，技术门槛中等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替代品威胁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★★ (低)</w:t>
            </w:r>
          </w:p>
        </w:tc>
        <w:tc>
          <w:tcPr>
            <w:tcW w:type="dxa" w:w="5953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Excel + 人工投研难被 AI 替代，但 30% 机构仍在用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供应商议价能力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★★★ (中)</w:t>
            </w:r>
          </w:p>
        </w:tc>
        <w:tc>
          <w:tcPr>
            <w:tcW w:type="dxa" w:w="5953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数据源（akshare/Tushare/Wind）+ GPU 供应商，议价中等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客户议价能力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★★★★ (高)</w:t>
            </w:r>
          </w:p>
        </w:tc>
        <w:tc>
          <w:tcPr>
            <w:tcW w:type="dxa" w:w="5953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中小私募比价敏感，但行业缺 AI 全栈方案</w:t>
            </w:r>
          </w:p>
        </w:tc>
      </w:tr>
    </w:tbl>
    <w:p>
      <w:pPr>
        <w:spacing w:before="160" w:after="80"/>
      </w:pPr>
      <w:r>
        <w:rPr>
          <w:rFonts w:ascii="Microsoft YaHei" w:hAnsi="Microsoft YaHei" w:eastAsia="Microsoft YaHei"/>
          <w:b/>
          <w:i w:val="0"/>
          <w:color w:val="1A558F"/>
          <w:sz w:val="25"/>
        </w:rPr>
        <w:t>5.2 5 力综合判断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总体竞争强度：★★★★（中高）—— 头部 3 强 + 12-18 月 AI 窗口期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机会：客户议价能力强 = 客户愿意为差异化付费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风险：现有竞争对手 = Wind/同花顺可能降维进入长尾市场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策略：抢占 AI 窗口期（12-18 月）建立先发优势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护城河：SHAP + 开源回测 + 5 类数据融合 3 重壁垒</w:t>
      </w:r>
    </w:p>
    <w:p>
      <w:r>
        <w:br w:type="page"/>
      </w:r>
    </w:p>
    <w:p>
      <w:pPr>
        <w:spacing w:before="240" w:after="120"/>
      </w:pPr>
      <w:r>
        <w:rPr>
          <w:rFonts w:ascii="Microsoft YaHei" w:hAnsi="Microsoft YaHei" w:eastAsia="Microsoft YaHei"/>
          <w:b/>
          <w:i w:val="0"/>
          <w:color w:val="0A1F44"/>
          <w:sz w:val="30"/>
        </w:rPr>
        <w:t>六、SWOT 分析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i w:val="0"/>
          <w:color w:val="1A558F"/>
          <w:sz w:val="25"/>
        </w:rPr>
        <w:t>6.1 优势 (Strengths)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技术差异化：SHAP 业内独家 + 17 因子多因子模型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价格优势：50-200 万/年 vs Wind 80-300 万/年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开源透明：MIT License 回测引擎 + 11.4 年回测数据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AI 全栈：DeepSeek/Qwen 微调 + RAG + 5 类数据融合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战略合作：永字资管已签，5 模块落地验证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团队复合：CEO + CTO + CFO + CMO 全栈能力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i w:val="0"/>
          <w:color w:val="1A558F"/>
          <w:sz w:val="25"/>
        </w:rPr>
        <w:t>6.2 劣势 (Weaknesses)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品牌弱：初创公司，无 Wind/同花顺品牌力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客户基数小：当前 5-30 客户，Wind 8000+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资本有限：天使轮 500 万 vs Wind 数亿融资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合规经验：永字合作刚开始，9 类机构覆盖需要时间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地域局限：杭州本地，跨区域销售能力待建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i w:val="0"/>
          <w:color w:val="1A558F"/>
          <w:sz w:val="25"/>
        </w:rPr>
        <w:t>6.3 机会 (Opportunities)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AI 窗口：90% 业内机构无 AI 投研智能体，12-18 月窗口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监管驱动：算法备案推动 SHAP 等可解释 AI 需求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长尾市场：5000+ 中小私募被忽视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开源趋势：MIT License 形成社区效应（参考 Linux）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一带一路：香港/新加坡资管科技国际化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i w:val="0"/>
          <w:color w:val="1A558F"/>
          <w:sz w:val="25"/>
        </w:rPr>
        <w:t>6.4 威胁 (Threats)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Wind/同花顺可能降维进入长尾市场（3-5 年风险）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AI 大模型开源生态变化（DeepSeek/Qwen 替代风险）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监管政策变化（算法备案细则可能调整）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经济周期：资管新规可能加严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技术替代：开源替代品（Backtrader/Zipline/VectorBT）可能崛起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i w:val="0"/>
          <w:color w:val="1A558F"/>
          <w:sz w:val="25"/>
        </w:rPr>
        <w:t>6.5 SO 战略（增长型）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技术差异化 + AI 窗口：抓住 12-18 月窗口期建立先发优势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开源透明 + 监管驱动：SHAP 满足监管刚需形成合规壁垒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价格优势 + 长尾市场：精准切入 5000+ 中小私募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i w:val="0"/>
          <w:color w:val="1A558F"/>
          <w:sz w:val="25"/>
        </w:rPr>
        <w:t>6.6 WO 战略（扭转型）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品牌弱 + AI 窗口：开源 + 行业会议快速建立品牌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资本有限 + 长尾市场：聚焦永字资管战略合作，1 客户带动 10 客户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合规经验 + 监管驱动：与监管沙盒合作建立合规护城河</w:t>
      </w:r>
    </w:p>
    <w:p>
      <w:r>
        <w:br w:type="page"/>
      </w:r>
    </w:p>
    <w:p>
      <w:pPr>
        <w:spacing w:before="240" w:after="120"/>
      </w:pPr>
      <w:r>
        <w:rPr>
          <w:rFonts w:ascii="Microsoft YaHei" w:hAnsi="Microsoft YaHei" w:eastAsia="Microsoft YaHei"/>
          <w:b/>
          <w:i w:val="0"/>
          <w:color w:val="0A1F44"/>
          <w:sz w:val="30"/>
        </w:rPr>
        <w:t>七、护城河分析（3 重壁垒）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i w:val="0"/>
          <w:color w:val="1A558F"/>
          <w:sz w:val="25"/>
        </w:rPr>
        <w:t>7.1 技术护城河（1-2 年）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SHAP 17 因子归因算法：业内独家，需要 18+ 月工程积累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DeepSeek/Qwen 金融微调：金融术语词典 + 中文语料，需要 12+ 月数据沉淀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RAG + 知识图谱：5 类数据融合 + 引用溯源，技术复杂度高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开源回测引擎：7 单元测试 100% 通过，工程量大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i w:val="0"/>
          <w:color w:val="1A558F"/>
          <w:sz w:val="25"/>
        </w:rPr>
        <w:t>7.2 数据护城河（2-3 年）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11.4 年历史回测数据：5 指数 × 5 策略 = 25 组真实回测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5 类另类数据融合：财报/公告/舆情/产业链/消费行为，多源备份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永字资管真实投研流程数据：实战反馈形成数据飞轮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i w:val="0"/>
          <w:color w:val="1A558F"/>
          <w:sz w:val="25"/>
        </w:rPr>
        <w:t>7.3 生态护城河（3-5 年）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MIT License 开源：吸引 100+ 社区开发者贡献（参考 QuantConnect）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战略合作：永字资管推荐单位，1 客户带动 10 客户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监管沙盒合作：北/上/深/海南自贸港试点优先权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9 类机构生态：客户间数据/策略交流形成网络效应</w:t>
      </w:r>
    </w:p>
    <w:p>
      <w:r>
        <w:br w:type="page"/>
      </w:r>
    </w:p>
    <w:p>
      <w:pPr>
        <w:spacing w:before="240" w:after="120"/>
      </w:pPr>
      <w:r>
        <w:rPr>
          <w:rFonts w:ascii="Microsoft YaHei" w:hAnsi="Microsoft YaHei" w:eastAsia="Microsoft YaHei"/>
          <w:b/>
          <w:i w:val="0"/>
          <w:color w:val="0A1F44"/>
          <w:sz w:val="30"/>
        </w:rPr>
        <w:t>八、竞争策略（3 阶段）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i w:val="0"/>
          <w:color w:val="1A558F"/>
          <w:sz w:val="25"/>
        </w:rPr>
        <w:t>8.1 阶段 1：抢占 AI 窗口（2026 H2 - 2027 H1）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目标：5-30 客户，永字资管战略合作落地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策略：开源 + 低价 + 监管合规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差异化：SHAP + 5 类数据 + AI 智能体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风险：资金有限，需聚焦核心客户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i w:val="0"/>
          <w:color w:val="1A558F"/>
          <w:sz w:val="25"/>
        </w:rPr>
        <w:t>8.2 阶段 2：构建护城河（2027 H2 - 2028 H2）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目标：30-200 客户，Pre-A + A 轮融资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策略：开源社区 + 行业大会 + 监管沙盒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差异化：技术 + 数据 + 生态三重壁垒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风险：Wind/同花顺可能降维进入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i w:val="0"/>
          <w:color w:val="1A558F"/>
          <w:sz w:val="25"/>
        </w:rPr>
        <w:t>8.3 阶段 3：行业领先（2029-2030）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目标：200-620 客户，B 轮 + Pre-IPO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策略：国际化（香港/新加坡）+ 行业 Top 3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差异化：技术 + 数据 + 生态 + 资本 4 重壁垒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风险：资本市场波动，IPO 时机选择</w:t>
      </w:r>
    </w:p>
    <w:p>
      <w:pPr>
        <w:spacing w:before="240" w:after="120"/>
      </w:pPr>
      <w:r>
        <w:rPr>
          <w:rFonts w:ascii="Microsoft YaHei" w:hAnsi="Microsoft YaHei" w:eastAsia="Microsoft YaHei"/>
          <w:b/>
          <w:i w:val="0"/>
          <w:color w:val="0A1F44"/>
          <w:sz w:val="30"/>
        </w:rPr>
        <w:t>九、市场进入路径（4 步走）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i w:val="0"/>
          <w:color w:val="1A558F"/>
          <w:sz w:val="25"/>
        </w:rPr>
        <w:t>9.1 第 1 步：永字资管战略合作（2026 Q3）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状态：2026-07 已签约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目标：5 模块合作落地（AI 问答 + 量化回测 + SHAP 选股 + 智能选股 + 客户研究）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指标：投研效率提升 65%，客户画像形成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i w:val="0"/>
          <w:color w:val="1A558F"/>
          <w:sz w:val="25"/>
        </w:rPr>
        <w:t>9.2 第 2 步：杭州本地试点（2026 Q4）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目标：杭州本地 3-5 家中小私募（永字资管推荐）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策略：本地化服务 + 案例复制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指标：3-5 个客户成功案例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i w:val="0"/>
          <w:color w:val="1A558F"/>
          <w:sz w:val="25"/>
        </w:rPr>
        <w:t>9.3 第 3 步：长三角扩张（2027 H1）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目标：上海/南京/苏州 10-15 家中小私募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策略：行业大会 + 监管沙盒合作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指标：10-15 客户，Pre-A 完成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i w:val="0"/>
          <w:color w:val="1A558F"/>
          <w:sz w:val="25"/>
        </w:rPr>
        <w:t>9.4 第 4 步：全国布局（2027 H2 - 2028）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目标：北上深 50-100 客户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策略：直销团队 + 渠道合作 + 战略合作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指标：100 客户，A 轮完成</w:t>
      </w:r>
    </w:p>
    <w:p>
      <w:pPr>
        <w:spacing w:before="240" w:after="120"/>
      </w:pPr>
      <w:r>
        <w:rPr>
          <w:rFonts w:ascii="Microsoft YaHei" w:hAnsi="Microsoft YaHei" w:eastAsia="Microsoft YaHei"/>
          <w:b/>
          <w:i w:val="0"/>
          <w:color w:val="0A1F44"/>
          <w:sz w:val="30"/>
        </w:rPr>
        <w:t>十、关键结论</w:t>
      </w:r>
    </w:p>
    <w:p>
      <w:r>
        <w:rPr>
          <w:rFonts w:ascii="Microsoft YaHei" w:hAnsi="Microsoft YaHei" w:eastAsia="Microsoft YaHei"/>
          <w:b/>
          <w:i w:val="0"/>
          <w:color w:val="C0392B"/>
          <w:sz w:val="22"/>
        </w:rPr>
        <w:t>★ QuantInsight Pro 在「右上象限」——AI 能力强 + 中小机构覆盖强，是当前市场中唯一差异化定位的资管科技创业公司。</w:t>
      </w:r>
    </w:p>
    <w:p/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市场空间：5000+ 中小私募 + 9 类机构 = 1.5 万+ 家潜在客户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窗口期：AI 投研 12-18 月窗口，监管驱动 SHAP 需求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差异化：SHAP 业内独家 + 5 类数据融合 + 开源回测 + 价格优势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护城河：技术 1-2 年 + 数据 2-3 年 + 生态 3-5 年 3 重壁垒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进入路径：永字资管 → 杭州本地 → 长三角 → 全国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对标公司：海外 QuantConnect（开源回测社区）+ 国内卡方（量化基础设施）</w:t>
      </w:r>
    </w:p>
    <w:p/>
    <w:p>
      <w:pPr>
        <w:jc w:val="center"/>
      </w:pPr>
      <w:r>
        <w:rPr>
          <w:rFonts w:ascii="Microsoft YaHei" w:hAnsi="Microsoft YaHei" w:eastAsia="Microsoft YaHei"/>
          <w:b w:val="0"/>
          <w:i/>
          <w:color w:val="999999"/>
          <w:sz w:val="18"/>
        </w:rPr>
        <w:t>— 市场竞争分析结束 —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