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563F76">
      <w:r>
        <w:rPr>
          <w:rFonts w:ascii="微软雅黑" w:hAnsi="微软雅黑" w:eastAsia="微软雅黑"/>
          <w:b w:val="0"/>
          <w:i w:val="0"/>
          <w:sz w:val="20"/>
        </w:rPr>
        <w:br w:type="textWrapping"/>
      </w:r>
      <w:r>
        <w:rPr>
          <w:rFonts w:ascii="微软雅黑" w:hAnsi="微软雅黑" w:eastAsia="微软雅黑"/>
          <w:b w:val="0"/>
          <w:i w:val="0"/>
          <w:sz w:val="20"/>
        </w:rPr>
        <w:br w:type="textWrapping"/>
      </w:r>
      <w:r>
        <w:rPr>
          <w:rFonts w:ascii="微软雅黑" w:hAnsi="微软雅黑" w:eastAsia="微软雅黑"/>
          <w:b w:val="0"/>
          <w:i w:val="0"/>
          <w:sz w:val="20"/>
        </w:rPr>
        <w:br w:type="textWrapping"/>
      </w:r>
    </w:p>
    <w:p w14:paraId="5F31153C">
      <w:pPr>
        <w:jc w:val="center"/>
      </w:pPr>
      <w:r>
        <w:rPr>
          <w:rFonts w:ascii="微软雅黑" w:hAnsi="微软雅黑" w:eastAsia="微软雅黑"/>
          <w:b/>
          <w:i w:val="0"/>
          <w:color w:val="1A558F"/>
          <w:sz w:val="24"/>
        </w:rPr>
        <w:t>AFAC 2026 金融智能创新大赛 · 初创组</w:t>
      </w:r>
    </w:p>
    <w:p w14:paraId="5D71D56C"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项目编号 2026FINTECH-FINT-0093</w:t>
      </w:r>
    </w:p>
    <w:p w14:paraId="55F6CC83">
      <w:pPr>
        <w:spacing w:before="1200"/>
        <w:jc w:val="center"/>
        <w:rPr>
          <w:sz w:val="20"/>
          <w:szCs w:val="21"/>
        </w:rPr>
      </w:pPr>
      <w:r>
        <w:rPr>
          <w:rFonts w:ascii="微软雅黑" w:hAnsi="微软雅黑" w:eastAsia="微软雅黑"/>
          <w:b/>
          <w:i w:val="0"/>
          <w:color w:val="0A1F44"/>
          <w:sz w:val="60"/>
          <w:szCs w:val="21"/>
        </w:rPr>
        <w:t>解 决 方 案 描 述</w:t>
      </w:r>
    </w:p>
    <w:p w14:paraId="01BB7E75">
      <w:pPr>
        <w:jc w:val="center"/>
      </w:pPr>
      <w:r>
        <w:rPr>
          <w:rFonts w:ascii="微软雅黑" w:hAnsi="微软雅黑" w:eastAsia="微软雅黑"/>
          <w:b/>
          <w:i w:val="0"/>
          <w:color w:val="1A558F"/>
          <w:sz w:val="44"/>
        </w:rPr>
        <w:t>QuantInsight Pro</w:t>
      </w:r>
    </w:p>
    <w:p w14:paraId="1F73B386">
      <w:pPr>
        <w:jc w:val="center"/>
      </w:pPr>
      <w:r>
        <w:rPr>
          <w:rFonts w:ascii="微软雅黑" w:hAnsi="微软雅黑" w:eastAsia="微软雅黑"/>
          <w:b w:val="0"/>
          <w:i/>
          <w:color w:val="666666"/>
          <w:sz w:val="26"/>
        </w:rPr>
        <w:t>AI 驱动的另类数据量化投研平台</w:t>
      </w:r>
    </w:p>
    <w:p w14:paraId="72B997DD">
      <w:pPr>
        <w:spacing w:before="800"/>
        <w:jc w:val="center"/>
      </w:pPr>
      <w:r>
        <w:rPr>
          <w:rFonts w:ascii="微软雅黑" w:hAnsi="微软雅黑" w:eastAsia="微软雅黑"/>
          <w:b w:val="0"/>
          <w:i w:val="0"/>
          <w:color w:val="1A558F"/>
          <w:sz w:val="20"/>
        </w:rPr>
        <w:t>━━━━━━━━━━━━━━━━━━━━━━━━━━━━━━</w:t>
      </w:r>
    </w:p>
    <w:p w14:paraId="227FDB09">
      <w:pPr>
        <w:jc w:val="center"/>
      </w:pPr>
      <w:r>
        <w:rPr>
          <w:rFonts w:ascii="微软雅黑" w:hAnsi="微软雅黑" w:eastAsia="微软雅黑"/>
          <w:b/>
          <w:i w:val="0"/>
          <w:color w:val="C0392B"/>
          <w:sz w:val="24"/>
        </w:rPr>
        <w:t>让量化投资更智能 · 让另类数据更普惠 · 让 AI 决策可解释</w:t>
      </w:r>
    </w:p>
    <w:p w14:paraId="39FFC3CA">
      <w:pPr>
        <w:jc w:val="center"/>
      </w:pPr>
      <w:r>
        <w:rPr>
          <w:rFonts w:ascii="微软雅黑" w:hAnsi="微软雅黑" w:eastAsia="微软雅黑"/>
          <w:b w:val="0"/>
          <w:i w:val="0"/>
          <w:color w:val="1A558F"/>
          <w:sz w:val="20"/>
        </w:rPr>
        <w:t>━━━━━━━━━━━━━━━━━━━━━━━━━━━━━━</w:t>
      </w:r>
    </w:p>
    <w:p w14:paraId="057CC482">
      <w:pPr>
        <w:spacing w:before="1200"/>
        <w:jc w:val="center"/>
      </w:pPr>
      <w:r>
        <w:rPr>
          <w:rFonts w:ascii="微软雅黑" w:hAnsi="微软雅黑" w:eastAsia="微软雅黑"/>
          <w:b/>
          <w:i w:val="0"/>
          <w:color w:val="0A1F44"/>
          <w:sz w:val="24"/>
        </w:rPr>
        <w:t>9 类机构客户  ·  8 大核心模块  ·  6 层技术架构</w:t>
      </w:r>
    </w:p>
    <w:p w14:paraId="00BF44C3">
      <w:pPr>
        <w:jc w:val="center"/>
        <w:rPr>
          <w:rFonts w:ascii="微软雅黑" w:hAnsi="微软雅黑" w:eastAsia="微软雅黑"/>
          <w:b/>
          <w:i w:val="0"/>
          <w:color w:val="0A1F44"/>
          <w:sz w:val="24"/>
        </w:rPr>
      </w:pPr>
      <w:r>
        <w:rPr>
          <w:rFonts w:ascii="微软雅黑" w:hAnsi="微软雅黑" w:eastAsia="微软雅黑"/>
          <w:b/>
          <w:i w:val="0"/>
          <w:color w:val="0A1F44"/>
          <w:sz w:val="24"/>
        </w:rPr>
        <w:t>17 因子 + SHAP + RAG + 11.4 年回测</w:t>
      </w:r>
    </w:p>
    <w:p w14:paraId="76A3045A"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编制日期：2026 年 7 月</w:t>
      </w:r>
    </w:p>
    <w:p w14:paraId="33303DAF"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编制单位：QuantInsight Pro 项目组</w:t>
      </w:r>
    </w:p>
    <w:p w14:paraId="26C62A89">
      <w:pPr>
        <w:jc w:val="center"/>
      </w:pPr>
      <w:r>
        <w:rPr>
          <w:rFonts w:ascii="微软雅黑" w:hAnsi="微软雅黑" w:eastAsia="微软雅黑"/>
          <w:b w:val="0"/>
          <w:i/>
          <w:color w:val="1A558F"/>
          <w:sz w:val="20"/>
        </w:rPr>
        <w:t>对应 Demo：https://3blue1brownlab.cn</w:t>
      </w:r>
    </w:p>
    <w:p w14:paraId="7BE20158">
      <w:r>
        <w:br w:type="page"/>
      </w:r>
    </w:p>
    <w:p w14:paraId="16D8378A">
      <w:pPr>
        <w:spacing w:before="240" w:after="120"/>
      </w:pPr>
      <w:r>
        <w:rPr>
          <w:rFonts w:ascii="微软雅黑" w:hAnsi="微软雅黑" w:eastAsia="微软雅黑"/>
          <w:b/>
          <w:i w:val="0"/>
          <w:color w:val="0A1F44"/>
          <w:sz w:val="30"/>
        </w:rPr>
        <w:t>一、客户痛点（9 类机构）</w:t>
      </w:r>
    </w:p>
    <w:p w14:paraId="49E8C98A">
      <w:r>
        <w:rPr>
          <w:rFonts w:ascii="微软雅黑" w:hAnsi="微软雅黑" w:eastAsia="微软雅黑"/>
          <w:b w:val="0"/>
          <w:i w:val="0"/>
          <w:sz w:val="21"/>
        </w:rPr>
        <w:t>中国资管行业 2025 年总规模 200 万亿+，机构投资者占比持续提升。但资管科技渗透率 &lt; 5%（远低于零售金融科技 30%+），不同机构类型的核心痛点差异显著：</w:t>
      </w:r>
    </w:p>
    <w:p w14:paraId="0C546B00">
      <w:pPr>
        <w:spacing w:before="160" w:after="80"/>
      </w:pPr>
      <w:r>
        <w:rPr>
          <w:rFonts w:ascii="微软雅黑" w:hAnsi="微软雅黑" w:eastAsia="微软雅黑"/>
          <w:b/>
          <w:i w:val="0"/>
          <w:color w:val="1A558F"/>
          <w:sz w:val="25"/>
        </w:rPr>
        <w:t>1.1 9 类机构痛点矩阵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1701"/>
        <w:gridCol w:w="1701"/>
      </w:tblGrid>
      <w:tr w14:paraId="240B07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1701" w:type="dxa"/>
            <w:shd w:val="clear" w:color="auto" w:fill="1A558F"/>
          </w:tcPr>
          <w:p w14:paraId="352E808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客户类型</w:t>
            </w:r>
          </w:p>
        </w:tc>
        <w:tc>
          <w:tcPr>
            <w:tcW w:w="3969" w:type="dxa"/>
            <w:shd w:val="clear" w:color="auto" w:fill="1A558F"/>
          </w:tcPr>
          <w:p w14:paraId="3CCC9E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核心痛点</w:t>
            </w:r>
          </w:p>
        </w:tc>
        <w:tc>
          <w:tcPr>
            <w:tcW w:w="1701" w:type="dxa"/>
            <w:shd w:val="clear" w:color="auto" w:fill="1A558F"/>
          </w:tcPr>
          <w:p w14:paraId="557A09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痛点强度</w:t>
            </w:r>
          </w:p>
        </w:tc>
        <w:tc>
          <w:tcPr>
            <w:tcW w:w="1701" w:type="dxa"/>
            <w:shd w:val="clear" w:color="auto" w:fill="1A558F"/>
          </w:tcPr>
          <w:p w14:paraId="1E46B4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QuantInsight 解决度</w:t>
            </w:r>
          </w:p>
        </w:tc>
      </w:tr>
      <w:tr w14:paraId="6C0755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C9FB8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中小私募</w:t>
            </w:r>
          </w:p>
        </w:tc>
        <w:tc>
          <w:tcPr>
            <w:tcW w:w="3969" w:type="dxa"/>
          </w:tcPr>
          <w:p w14:paraId="7A04F5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数据贵 / AI 不会用 / 合规压力大</w:t>
            </w:r>
          </w:p>
        </w:tc>
        <w:tc>
          <w:tcPr>
            <w:tcW w:w="1701" w:type="dxa"/>
          </w:tcPr>
          <w:p w14:paraId="30BD84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★★★★★</w:t>
            </w:r>
          </w:p>
        </w:tc>
        <w:tc>
          <w:tcPr>
            <w:tcW w:w="1701" w:type="dxa"/>
          </w:tcPr>
          <w:p w14:paraId="1DEFF1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100%</w:t>
            </w:r>
          </w:p>
        </w:tc>
      </w:tr>
      <w:tr w14:paraId="2FA7C7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6FD32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银行理财子</w:t>
            </w:r>
          </w:p>
        </w:tc>
        <w:tc>
          <w:tcPr>
            <w:tcW w:w="3969" w:type="dxa"/>
          </w:tcPr>
          <w:p w14:paraId="530333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净值化转型 / 另类数据稀缺</w:t>
            </w:r>
          </w:p>
        </w:tc>
        <w:tc>
          <w:tcPr>
            <w:tcW w:w="1701" w:type="dxa"/>
          </w:tcPr>
          <w:p w14:paraId="5DA713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★★★★</w:t>
            </w:r>
          </w:p>
        </w:tc>
        <w:tc>
          <w:tcPr>
            <w:tcW w:w="1701" w:type="dxa"/>
          </w:tcPr>
          <w:p w14:paraId="18A5B3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90%</w:t>
            </w:r>
          </w:p>
        </w:tc>
      </w:tr>
      <w:tr w14:paraId="798172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E59CB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券商资管</w:t>
            </w:r>
          </w:p>
        </w:tc>
        <w:tc>
          <w:tcPr>
            <w:tcW w:w="3969" w:type="dxa"/>
          </w:tcPr>
          <w:p w14:paraId="059501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资管新规 / 智能风控</w:t>
            </w:r>
          </w:p>
        </w:tc>
        <w:tc>
          <w:tcPr>
            <w:tcW w:w="1701" w:type="dxa"/>
          </w:tcPr>
          <w:p w14:paraId="6731A6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★★★</w:t>
            </w:r>
          </w:p>
        </w:tc>
        <w:tc>
          <w:tcPr>
            <w:tcW w:w="1701" w:type="dxa"/>
          </w:tcPr>
          <w:p w14:paraId="3D0182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85%</w:t>
            </w:r>
          </w:p>
        </w:tc>
      </w:tr>
      <w:tr w14:paraId="0065D9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F8668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信托公司</w:t>
            </w:r>
          </w:p>
        </w:tc>
        <w:tc>
          <w:tcPr>
            <w:tcW w:w="3969" w:type="dxa"/>
          </w:tcPr>
          <w:p w14:paraId="1EB82F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证券投资能力弱 / 投研团队小</w:t>
            </w:r>
          </w:p>
        </w:tc>
        <w:tc>
          <w:tcPr>
            <w:tcW w:w="1701" w:type="dxa"/>
          </w:tcPr>
          <w:p w14:paraId="4FA8CD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★★★★</w:t>
            </w:r>
          </w:p>
        </w:tc>
        <w:tc>
          <w:tcPr>
            <w:tcW w:w="1701" w:type="dxa"/>
          </w:tcPr>
          <w:p w14:paraId="5AC8C5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85%</w:t>
            </w:r>
          </w:p>
        </w:tc>
      </w:tr>
      <w:tr w14:paraId="510119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1E230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保险资管</w:t>
            </w:r>
          </w:p>
        </w:tc>
        <w:tc>
          <w:tcPr>
            <w:tcW w:w="3969" w:type="dxa"/>
          </w:tcPr>
          <w:p w14:paraId="3C5898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长周期资产配置 / 另类数据</w:t>
            </w:r>
          </w:p>
        </w:tc>
        <w:tc>
          <w:tcPr>
            <w:tcW w:w="1701" w:type="dxa"/>
          </w:tcPr>
          <w:p w14:paraId="7E6F24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★★★</w:t>
            </w:r>
          </w:p>
        </w:tc>
        <w:tc>
          <w:tcPr>
            <w:tcW w:w="1701" w:type="dxa"/>
          </w:tcPr>
          <w:p w14:paraId="2DDC50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80%</w:t>
            </w:r>
          </w:p>
        </w:tc>
      </w:tr>
      <w:tr w14:paraId="6192B9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A6898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公募基金</w:t>
            </w:r>
          </w:p>
        </w:tc>
        <w:tc>
          <w:tcPr>
            <w:tcW w:w="3969" w:type="dxa"/>
          </w:tcPr>
          <w:p w14:paraId="6192EF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投研效率 / Alpha 衰减</w:t>
            </w:r>
          </w:p>
        </w:tc>
        <w:tc>
          <w:tcPr>
            <w:tcW w:w="1701" w:type="dxa"/>
          </w:tcPr>
          <w:p w14:paraId="543553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★★★</w:t>
            </w:r>
          </w:p>
        </w:tc>
        <w:tc>
          <w:tcPr>
            <w:tcW w:w="1701" w:type="dxa"/>
          </w:tcPr>
          <w:p w14:paraId="3EE9D0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75%</w:t>
            </w:r>
          </w:p>
        </w:tc>
      </w:tr>
      <w:tr w14:paraId="73C27A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58F5F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高校研究所</w:t>
            </w:r>
          </w:p>
        </w:tc>
        <w:tc>
          <w:tcPr>
            <w:tcW w:w="3969" w:type="dxa"/>
          </w:tcPr>
          <w:p w14:paraId="109528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实证研究 / 数据获取</w:t>
            </w:r>
          </w:p>
        </w:tc>
        <w:tc>
          <w:tcPr>
            <w:tcW w:w="1701" w:type="dxa"/>
          </w:tcPr>
          <w:p w14:paraId="2C2992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★★</w:t>
            </w:r>
          </w:p>
        </w:tc>
        <w:tc>
          <w:tcPr>
            <w:tcW w:w="1701" w:type="dxa"/>
          </w:tcPr>
          <w:p w14:paraId="55167D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90%</w:t>
            </w:r>
          </w:p>
        </w:tc>
      </w:tr>
      <w:tr w14:paraId="61883F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14A2C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上市公司 IR</w:t>
            </w:r>
          </w:p>
        </w:tc>
        <w:tc>
          <w:tcPr>
            <w:tcW w:w="3969" w:type="dxa"/>
          </w:tcPr>
          <w:p w14:paraId="0847EE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投资者关系 / 舆情监控</w:t>
            </w:r>
          </w:p>
        </w:tc>
        <w:tc>
          <w:tcPr>
            <w:tcW w:w="1701" w:type="dxa"/>
          </w:tcPr>
          <w:p w14:paraId="0ACD90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★★</w:t>
            </w:r>
          </w:p>
        </w:tc>
        <w:tc>
          <w:tcPr>
            <w:tcW w:w="1701" w:type="dxa"/>
          </w:tcPr>
          <w:p w14:paraId="525EA9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70%</w:t>
            </w:r>
          </w:p>
        </w:tc>
      </w:tr>
      <w:tr w14:paraId="284882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40EAD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战略合作（永字资管）</w:t>
            </w:r>
          </w:p>
        </w:tc>
        <w:tc>
          <w:tcPr>
            <w:tcW w:w="3969" w:type="dxa"/>
          </w:tcPr>
          <w:p w14:paraId="0AE410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资源对接 / 生态共建</w:t>
            </w:r>
          </w:p>
        </w:tc>
        <w:tc>
          <w:tcPr>
            <w:tcW w:w="1701" w:type="dxa"/>
          </w:tcPr>
          <w:p w14:paraId="6F2FFD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★</w:t>
            </w:r>
          </w:p>
        </w:tc>
        <w:tc>
          <w:tcPr>
            <w:tcW w:w="1701" w:type="dxa"/>
          </w:tcPr>
          <w:p w14:paraId="611C32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100%</w:t>
            </w:r>
          </w:p>
        </w:tc>
      </w:tr>
    </w:tbl>
    <w:p w14:paraId="4C413063">
      <w:pPr>
        <w:spacing w:before="160" w:after="80"/>
      </w:pPr>
      <w:r>
        <w:rPr>
          <w:rFonts w:ascii="微软雅黑" w:hAnsi="微软雅黑" w:eastAsia="微软雅黑"/>
          <w:b/>
          <w:i w:val="0"/>
          <w:color w:val="1A558F"/>
          <w:sz w:val="25"/>
        </w:rPr>
        <w:t>1.2 三大共性痛点</w:t>
      </w:r>
    </w:p>
    <w:p w14:paraId="552852B8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数据碎片化：Wind 80-300 万/年贵，akshare 杂，Tushare 限速——5000+ 中小私募买不起、拼不齐、跑不动</w:t>
      </w:r>
    </w:p>
    <w:p w14:paraId="5019AC31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AI 能力缺位：90% 业内机构无 AI 投研智能体，12-18 个月技术窗口期</w:t>
      </w:r>
    </w:p>
    <w:p w14:paraId="36E7BF3A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合规成本高：算法备案刚需 SHAP 等可解释性，传统量化是黑盒，监管沟通成本高</w:t>
      </w:r>
    </w:p>
    <w:p w14:paraId="5FA349B9">
      <w:r>
        <w:br w:type="page"/>
      </w:r>
    </w:p>
    <w:p w14:paraId="7E36E76E">
      <w:pPr>
        <w:spacing w:before="240" w:after="120"/>
      </w:pPr>
      <w:r>
        <w:rPr>
          <w:rFonts w:ascii="微软雅黑" w:hAnsi="微软雅黑" w:eastAsia="微软雅黑"/>
          <w:b/>
          <w:i w:val="0"/>
          <w:color w:val="0A1F44"/>
          <w:sz w:val="30"/>
        </w:rPr>
        <w:t>二、解决方案概览</w:t>
      </w:r>
    </w:p>
    <w:p w14:paraId="16F89170">
      <w:bookmarkStart w:id="0" w:name="_GoBack"/>
      <w:r>
        <w:rPr>
          <w:rFonts w:ascii="微软雅黑" w:hAnsi="微软雅黑" w:eastAsia="微软雅黑"/>
          <w:b w:val="0"/>
          <w:i w:val="0"/>
          <w:sz w:val="21"/>
        </w:rPr>
        <w:t>QuantInsight Pro 是面向专业机构投资者的新一代资管科技 (AssetTech) 平台，提供「数据 + 模型 + 策略 + 合规」一站式智能投研解决方案。</w:t>
      </w:r>
    </w:p>
    <w:p w14:paraId="4141629F">
      <w:pPr>
        <w:spacing w:before="160" w:after="80"/>
      </w:pPr>
      <w:r>
        <w:rPr>
          <w:rFonts w:ascii="微软雅黑" w:hAnsi="微软雅黑" w:eastAsia="微软雅黑"/>
          <w:b/>
          <w:i w:val="0"/>
          <w:color w:val="1A558F"/>
          <w:sz w:val="25"/>
        </w:rPr>
        <w:t>2.1 一句话定位</w:t>
      </w:r>
    </w:p>
    <w:p w14:paraId="39A05165">
      <w:pPr>
        <w:spacing w:before="200"/>
        <w:jc w:val="center"/>
      </w:pPr>
      <w:r>
        <w:rPr>
          <w:rFonts w:ascii="微软雅黑" w:hAnsi="微软雅黑" w:eastAsia="微软雅黑"/>
          <w:b/>
          <w:i w:val="0"/>
          <w:color w:val="C0392B"/>
          <w:sz w:val="26"/>
        </w:rPr>
        <w:t>「AI 投研智能体 + SHAP 可解释性 + 5 类另类数据 + 开源回测引擎」</w:t>
      </w:r>
    </w:p>
    <w:p w14:paraId="3BF1E1D0">
      <w:pPr>
        <w:jc w:val="center"/>
      </w:pPr>
      <w:r>
        <w:rPr>
          <w:rFonts w:ascii="微软雅黑" w:hAnsi="微软雅黑" w:eastAsia="微软雅黑"/>
          <w:b w:val="0"/>
          <w:i/>
          <w:color w:val="666666"/>
          <w:sz w:val="22"/>
        </w:rPr>
        <w:t>——业内首家将 SHAP 可解释性深度集成到 A 股智能选股流程的 AI 投研平台</w:t>
      </w:r>
    </w:p>
    <w:bookmarkEnd w:id="0"/>
    <w:p w14:paraId="74845B26">
      <w:pPr>
        <w:spacing w:before="160" w:after="80"/>
      </w:pPr>
      <w:r>
        <w:rPr>
          <w:rFonts w:ascii="微软雅黑" w:hAnsi="微软雅黑" w:eastAsia="微软雅黑"/>
          <w:b/>
          <w:i w:val="0"/>
          <w:color w:val="1A558F"/>
          <w:sz w:val="25"/>
        </w:rPr>
        <w:t>2.2 4 大解决方案支柱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38456D90">
        <w:tc>
          <w:tcPr>
            <w:tcW w:w="1701" w:type="dxa"/>
            <w:shd w:val="clear" w:color="auto" w:fill="E8EEF7"/>
          </w:tcPr>
          <w:p w14:paraId="272447A2">
            <w:pPr>
              <w:spacing w:before="1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A1F44"/>
                <w:sz w:val="28"/>
              </w:rPr>
              <w:t>① 数据</w:t>
            </w:r>
          </w:p>
        </w:tc>
        <w:tc>
          <w:tcPr>
            <w:tcW w:w="7654" w:type="dxa"/>
          </w:tcPr>
          <w:p w14:paraId="7109EAA0">
            <w:r>
              <w:rPr>
                <w:rFonts w:ascii="微软雅黑" w:hAnsi="微软雅黑" w:eastAsia="微软雅黑"/>
                <w:b/>
                <w:i w:val="0"/>
                <w:color w:val="0A1F44"/>
                <w:sz w:val="21"/>
              </w:rPr>
              <w:t>5 类另类数据（财报/公告/舆情/产业链/消费行为） + 多源备份（Wind/同花顺/akshare/聚源/通联）</w:t>
            </w:r>
          </w:p>
          <w:p w14:paraId="0C8D2208">
            <w:r>
              <w:rPr>
                <w:rFonts w:ascii="微软雅黑" w:hAnsi="微软雅黑" w:eastAsia="微软雅黑"/>
                <w:b w:val="0"/>
                <w:i/>
                <w:color w:val="666666"/>
                <w:sz w:val="19"/>
              </w:rPr>
              <w:t>→ 11.4 年真实回测</w:t>
            </w:r>
          </w:p>
        </w:tc>
      </w:tr>
      <w:tr w14:paraId="45D232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E8EEF7"/>
          </w:tcPr>
          <w:p w14:paraId="3D65F6E1">
            <w:pPr>
              <w:spacing w:before="1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A558F"/>
                <w:sz w:val="28"/>
              </w:rPr>
              <w:t>② 模型</w:t>
            </w:r>
          </w:p>
        </w:tc>
        <w:tc>
          <w:tcPr>
            <w:tcW w:w="7654" w:type="dxa"/>
          </w:tcPr>
          <w:p w14:paraId="42C50D52">
            <w:r>
              <w:rPr>
                <w:rFonts w:ascii="微软雅黑" w:hAnsi="微软雅黑" w:eastAsia="微软雅黑"/>
                <w:b/>
                <w:i w:val="0"/>
                <w:color w:val="0A1F44"/>
                <w:sz w:val="21"/>
              </w:rPr>
              <w:t>DeepSeek/Qwen 微调 + RAG 检索增强 + 17 因子多因子模型</w:t>
            </w:r>
          </w:p>
          <w:p w14:paraId="4ED1BA8D">
            <w:r>
              <w:rPr>
                <w:rFonts w:ascii="微软雅黑" w:hAnsi="微软雅黑" w:eastAsia="微软雅黑"/>
                <w:b w:val="0"/>
                <w:i/>
                <w:color w:val="666666"/>
                <w:sz w:val="19"/>
              </w:rPr>
              <w:t>→ 中文金融理解准确率 80%+</w:t>
            </w:r>
          </w:p>
        </w:tc>
      </w:tr>
      <w:tr w14:paraId="442F53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E8EEF7"/>
          </w:tcPr>
          <w:p w14:paraId="44F4A2B9">
            <w:pPr>
              <w:spacing w:before="1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2E7D32"/>
                <w:sz w:val="28"/>
              </w:rPr>
              <w:t>③ 策略</w:t>
            </w:r>
          </w:p>
        </w:tc>
        <w:tc>
          <w:tcPr>
            <w:tcW w:w="7654" w:type="dxa"/>
          </w:tcPr>
          <w:p w14:paraId="766C3A62">
            <w:r>
              <w:rPr>
                <w:rFonts w:ascii="微软雅黑" w:hAnsi="微软雅黑" w:eastAsia="微软雅黑"/>
                <w:b/>
                <w:i w:val="0"/>
                <w:color w:val="0A1F44"/>
                <w:sz w:val="21"/>
              </w:rPr>
              <w:t>8 大核心模块（智能选股/SHAP/AI 问答/回测/盯盘/模拟/报告/看板）</w:t>
            </w:r>
          </w:p>
          <w:p w14:paraId="16F0C1DA">
            <w:r>
              <w:rPr>
                <w:rFonts w:ascii="微软雅黑" w:hAnsi="微软雅黑" w:eastAsia="微软雅黑"/>
                <w:b w:val="0"/>
                <w:i/>
                <w:color w:val="666666"/>
                <w:sz w:val="19"/>
              </w:rPr>
              <w:t>→ 开源 MIT 回测引擎</w:t>
            </w:r>
          </w:p>
        </w:tc>
      </w:tr>
      <w:tr w14:paraId="60495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E8EEF7"/>
          </w:tcPr>
          <w:p w14:paraId="1B1747D2">
            <w:pPr>
              <w:spacing w:before="16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C0392B"/>
                <w:sz w:val="28"/>
              </w:rPr>
              <w:t>④ 合规</w:t>
            </w:r>
          </w:p>
        </w:tc>
        <w:tc>
          <w:tcPr>
            <w:tcW w:w="7654" w:type="dxa"/>
          </w:tcPr>
          <w:p w14:paraId="26B40CD8">
            <w:r>
              <w:rPr>
                <w:rFonts w:ascii="微软雅黑" w:hAnsi="微软雅黑" w:eastAsia="微软雅黑"/>
                <w:b/>
                <w:i w:val="0"/>
                <w:color w:val="0A1F44"/>
                <w:sz w:val="21"/>
              </w:rPr>
              <w:t>SHAP 可解释选股 + 4 重合规体系 + 监管沙盒申请支持</w:t>
            </w:r>
          </w:p>
          <w:p w14:paraId="176273CA">
            <w:r>
              <w:rPr>
                <w:rFonts w:ascii="微软雅黑" w:hAnsi="微软雅黑" w:eastAsia="微软雅黑"/>
                <w:b w:val="0"/>
                <w:i/>
                <w:color w:val="666666"/>
                <w:sz w:val="19"/>
              </w:rPr>
              <w:t>→ 满足算法备案</w:t>
            </w:r>
          </w:p>
        </w:tc>
      </w:tr>
    </w:tbl>
    <w:p w14:paraId="5EC0B52A">
      <w:r>
        <w:br w:type="page"/>
      </w:r>
    </w:p>
    <w:p w14:paraId="10D41758">
      <w:pPr>
        <w:spacing w:before="240" w:after="120"/>
      </w:pPr>
      <w:r>
        <w:rPr>
          <w:rFonts w:ascii="微软雅黑" w:hAnsi="微软雅黑" w:eastAsia="微软雅黑"/>
          <w:b/>
          <w:i w:val="0"/>
          <w:color w:val="0A1F44"/>
          <w:sz w:val="30"/>
        </w:rPr>
        <w:t>三、8 大核心功能模块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984"/>
        <w:gridCol w:w="3685"/>
        <w:gridCol w:w="1417"/>
        <w:gridCol w:w="1984"/>
      </w:tblGrid>
      <w:tr w14:paraId="74F3CB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1A558F"/>
          </w:tcPr>
          <w:p w14:paraId="232BE2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w="1984" w:type="dxa"/>
            <w:shd w:val="clear" w:color="auto" w:fill="1A558F"/>
          </w:tcPr>
          <w:p w14:paraId="652AC3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模块</w:t>
            </w:r>
          </w:p>
        </w:tc>
        <w:tc>
          <w:tcPr>
            <w:tcW w:w="3685" w:type="dxa"/>
            <w:shd w:val="clear" w:color="auto" w:fill="1A558F"/>
          </w:tcPr>
          <w:p w14:paraId="27B1EC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能力</w:t>
            </w:r>
          </w:p>
        </w:tc>
        <w:tc>
          <w:tcPr>
            <w:tcW w:w="1417" w:type="dxa"/>
            <w:shd w:val="clear" w:color="auto" w:fill="1A558F"/>
          </w:tcPr>
          <w:p w14:paraId="650A45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Demo 状态</w:t>
            </w:r>
          </w:p>
        </w:tc>
        <w:tc>
          <w:tcPr>
            <w:tcW w:w="1984" w:type="dxa"/>
            <w:shd w:val="clear" w:color="auto" w:fill="1A558F"/>
          </w:tcPr>
          <w:p w14:paraId="2FA3D1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业内对比</w:t>
            </w:r>
          </w:p>
        </w:tc>
      </w:tr>
      <w:tr w14:paraId="5645C1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61C76C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01</w:t>
            </w:r>
          </w:p>
        </w:tc>
        <w:tc>
          <w:tcPr>
            <w:tcW w:w="1984" w:type="dxa"/>
          </w:tcPr>
          <w:p w14:paraId="00C2ED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智能选股</w:t>
            </w:r>
          </w:p>
        </w:tc>
        <w:tc>
          <w:tcPr>
            <w:tcW w:w="3685" w:type="dxa"/>
          </w:tcPr>
          <w:p w14:paraId="652DEC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17 因子综合评分 + Top10 推荐</w:t>
            </w:r>
          </w:p>
        </w:tc>
        <w:tc>
          <w:tcPr>
            <w:tcW w:w="1417" w:type="dxa"/>
          </w:tcPr>
          <w:p w14:paraId="490EDB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已上线</w:t>
            </w:r>
          </w:p>
        </w:tc>
        <w:tc>
          <w:tcPr>
            <w:tcW w:w="1984" w:type="dxa"/>
          </w:tcPr>
          <w:p w14:paraId="18574B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Wind 同类无</w:t>
            </w:r>
          </w:p>
        </w:tc>
      </w:tr>
      <w:tr w14:paraId="15A6B4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056749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02</w:t>
            </w:r>
          </w:p>
        </w:tc>
        <w:tc>
          <w:tcPr>
            <w:tcW w:w="1984" w:type="dxa"/>
          </w:tcPr>
          <w:p w14:paraId="3AE029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SHAP 解读</w:t>
            </w:r>
          </w:p>
        </w:tc>
        <w:tc>
          <w:tcPr>
            <w:tcW w:w="3685" w:type="dxa"/>
          </w:tcPr>
          <w:p w14:paraId="310AFC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 类 SHAP 图 + 17 因子归因</w:t>
            </w:r>
          </w:p>
        </w:tc>
        <w:tc>
          <w:tcPr>
            <w:tcW w:w="1417" w:type="dxa"/>
          </w:tcPr>
          <w:p w14:paraId="23B9A6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业内独家</w:t>
            </w:r>
          </w:p>
        </w:tc>
        <w:tc>
          <w:tcPr>
            <w:tcW w:w="1984" w:type="dxa"/>
          </w:tcPr>
          <w:p w14:paraId="680CA4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95% 业内无</w:t>
            </w:r>
          </w:p>
        </w:tc>
      </w:tr>
      <w:tr w14:paraId="1EF431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10604A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03</w:t>
            </w:r>
          </w:p>
        </w:tc>
        <w:tc>
          <w:tcPr>
            <w:tcW w:w="1984" w:type="dxa"/>
          </w:tcPr>
          <w:p w14:paraId="6C69B7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AI 投研问答</w:t>
            </w:r>
          </w:p>
        </w:tc>
        <w:tc>
          <w:tcPr>
            <w:tcW w:w="3685" w:type="dxa"/>
          </w:tcPr>
          <w:p w14:paraId="5A708D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RAG 数据接地 + Qwen 解读 + 引用溯源</w:t>
            </w:r>
          </w:p>
        </w:tc>
        <w:tc>
          <w:tcPr>
            <w:tcW w:w="1417" w:type="dxa"/>
          </w:tcPr>
          <w:p w14:paraId="0311BD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已上线</w:t>
            </w:r>
          </w:p>
        </w:tc>
        <w:tc>
          <w:tcPr>
            <w:tcW w:w="1984" w:type="dxa"/>
          </w:tcPr>
          <w:p w14:paraId="221F45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90% 业内无</w:t>
            </w:r>
          </w:p>
        </w:tc>
      </w:tr>
      <w:tr w14:paraId="509499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63E8A8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04</w:t>
            </w:r>
          </w:p>
        </w:tc>
        <w:tc>
          <w:tcPr>
            <w:tcW w:w="1984" w:type="dxa"/>
          </w:tcPr>
          <w:p w14:paraId="46696E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量化策略回测</w:t>
            </w:r>
          </w:p>
        </w:tc>
        <w:tc>
          <w:tcPr>
            <w:tcW w:w="3685" w:type="dxa"/>
          </w:tcPr>
          <w:p w14:paraId="717AB2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 策略 + 11.4 年 HS300 真实数据</w:t>
            </w:r>
          </w:p>
        </w:tc>
        <w:tc>
          <w:tcPr>
            <w:tcW w:w="1417" w:type="dxa"/>
          </w:tcPr>
          <w:p w14:paraId="4CFB0F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开源引擎</w:t>
            </w:r>
          </w:p>
        </w:tc>
        <w:tc>
          <w:tcPr>
            <w:tcW w:w="1984" w:type="dxa"/>
          </w:tcPr>
          <w:p w14:paraId="11A727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黑盒为主</w:t>
            </w:r>
          </w:p>
        </w:tc>
      </w:tr>
      <w:tr w14:paraId="30AEBE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14908A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05</w:t>
            </w:r>
          </w:p>
        </w:tc>
        <w:tc>
          <w:tcPr>
            <w:tcW w:w="1984" w:type="dxa"/>
          </w:tcPr>
          <w:p w14:paraId="13657D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智能盯盘</w:t>
            </w:r>
          </w:p>
        </w:tc>
        <w:tc>
          <w:tcPr>
            <w:tcW w:w="3685" w:type="dxa"/>
          </w:tcPr>
          <w:p w14:paraId="498A19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7×24 涨跌停预警 + 异动监控</w:t>
            </w:r>
          </w:p>
        </w:tc>
        <w:tc>
          <w:tcPr>
            <w:tcW w:w="1417" w:type="dxa"/>
          </w:tcPr>
          <w:p w14:paraId="4B25A0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已上线</w:t>
            </w:r>
          </w:p>
        </w:tc>
        <w:tc>
          <w:tcPr>
            <w:tcW w:w="1984" w:type="dxa"/>
          </w:tcPr>
          <w:p w14:paraId="5C4834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碎片化方案</w:t>
            </w:r>
          </w:p>
        </w:tc>
      </w:tr>
      <w:tr w14:paraId="4680C1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651BDC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06</w:t>
            </w:r>
          </w:p>
        </w:tc>
        <w:tc>
          <w:tcPr>
            <w:tcW w:w="1984" w:type="dxa"/>
          </w:tcPr>
          <w:p w14:paraId="5B4E8A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模拟交易</w:t>
            </w:r>
          </w:p>
        </w:tc>
        <w:tc>
          <w:tcPr>
            <w:tcW w:w="3685" w:type="dxa"/>
          </w:tcPr>
          <w:p w14:paraId="3D6897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 股实时模拟 + 3 层 fallback</w:t>
            </w:r>
          </w:p>
        </w:tc>
        <w:tc>
          <w:tcPr>
            <w:tcW w:w="1417" w:type="dxa"/>
          </w:tcPr>
          <w:p w14:paraId="42DA6D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已上线</w:t>
            </w:r>
          </w:p>
        </w:tc>
        <w:tc>
          <w:tcPr>
            <w:tcW w:w="1984" w:type="dxa"/>
          </w:tcPr>
          <w:p w14:paraId="5079D2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传统券商有</w:t>
            </w:r>
          </w:p>
        </w:tc>
      </w:tr>
      <w:tr w14:paraId="78E68C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29750D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07</w:t>
            </w:r>
          </w:p>
        </w:tc>
        <w:tc>
          <w:tcPr>
            <w:tcW w:w="1984" w:type="dxa"/>
          </w:tcPr>
          <w:p w14:paraId="67EF2A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自动报告</w:t>
            </w:r>
          </w:p>
        </w:tc>
        <w:tc>
          <w:tcPr>
            <w:tcW w:w="3685" w:type="dxa"/>
          </w:tcPr>
          <w:p w14:paraId="1A4C9C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 段式周报 + Word/PDF 导出</w:t>
            </w:r>
          </w:p>
        </w:tc>
        <w:tc>
          <w:tcPr>
            <w:tcW w:w="1417" w:type="dxa"/>
          </w:tcPr>
          <w:p w14:paraId="27C35B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已上线</w:t>
            </w:r>
          </w:p>
        </w:tc>
        <w:tc>
          <w:tcPr>
            <w:tcW w:w="1984" w:type="dxa"/>
          </w:tcPr>
          <w:p w14:paraId="1DE087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人工撰写</w:t>
            </w:r>
          </w:p>
        </w:tc>
      </w:tr>
      <w:tr w14:paraId="6A9279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1D51F1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08</w:t>
            </w:r>
          </w:p>
        </w:tc>
        <w:tc>
          <w:tcPr>
            <w:tcW w:w="1984" w:type="dxa"/>
          </w:tcPr>
          <w:p w14:paraId="587B28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实时数据看板</w:t>
            </w:r>
          </w:p>
        </w:tc>
        <w:tc>
          <w:tcPr>
            <w:tcW w:w="3685" w:type="dxa"/>
          </w:tcPr>
          <w:p w14:paraId="235272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大盘卡片 + 北向资金热力图</w:t>
            </w:r>
          </w:p>
        </w:tc>
        <w:tc>
          <w:tcPr>
            <w:tcW w:w="1417" w:type="dxa"/>
          </w:tcPr>
          <w:p w14:paraId="5D75CE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✅ V2 已上线</w:t>
            </w:r>
          </w:p>
        </w:tc>
        <w:tc>
          <w:tcPr>
            <w:tcW w:w="1984" w:type="dxa"/>
          </w:tcPr>
          <w:p w14:paraId="6753AD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通用看板</w:t>
            </w:r>
          </w:p>
        </w:tc>
      </w:tr>
    </w:tbl>
    <w:p w14:paraId="5F398EDB">
      <w:pPr>
        <w:spacing w:before="160" w:after="80"/>
      </w:pPr>
      <w:r>
        <w:rPr>
          <w:rFonts w:ascii="微软雅黑" w:hAnsi="微软雅黑" w:eastAsia="微软雅黑"/>
          <w:b/>
          <w:i w:val="0"/>
          <w:color w:val="1A558F"/>
          <w:sz w:val="25"/>
        </w:rPr>
        <w:t>3.1 重点模块详解</w:t>
      </w:r>
    </w:p>
    <w:p w14:paraId="2DB4DBFC">
      <w:r>
        <w:rPr>
          <w:rFonts w:ascii="微软雅黑" w:hAnsi="微软雅黑" w:eastAsia="微软雅黑"/>
          <w:b/>
          <w:i w:val="0"/>
          <w:color w:val="0A1F44"/>
          <w:sz w:val="22"/>
        </w:rPr>
        <w:t>① 智能选股（核心模块）</w:t>
      </w:r>
    </w:p>
    <w:p w14:paraId="5EAB36B8">
      <w:r>
        <w:rPr>
          <w:rFonts w:ascii="微软雅黑" w:hAnsi="微软雅黑" w:eastAsia="微软雅黑"/>
          <w:b w:val="0"/>
          <w:i w:val="0"/>
          <w:sz w:val="21"/>
        </w:rPr>
        <w:t>基于 17 因子多因子模型（价值/质量/动量/波动/情绪/技术等 6 大类 17 因子），综合评分后 Top10 推荐。HS300 多因子 11.4 年年化 8.56%，超额 +3.10%，夏普 0.63。</w:t>
      </w:r>
    </w:p>
    <w:p w14:paraId="78827EA9">
      <w:r>
        <w:rPr>
          <w:rFonts w:ascii="微软雅黑" w:hAnsi="微软雅黑" w:eastAsia="微软雅黑"/>
          <w:b w:val="0"/>
          <w:i w:val="0"/>
          <w:sz w:val="21"/>
        </w:rPr>
        <w:t>差异化：业内首家 SHAP 深度集成——每个推荐都附带因子归因（哪些因子贡献多少），满足算法备案与客户沟通双重需求。</w:t>
      </w:r>
    </w:p>
    <w:p w14:paraId="3895D4B3">
      <w:r>
        <w:rPr>
          <w:rFonts w:ascii="微软雅黑" w:hAnsi="微软雅黑" w:eastAsia="微软雅黑"/>
          <w:b/>
          <w:i w:val="0"/>
          <w:color w:val="0A1F44"/>
          <w:sz w:val="22"/>
        </w:rPr>
        <w:t>② AI 投研问答（智能体）</w:t>
      </w:r>
    </w:p>
    <w:p w14:paraId="4237D7D8">
      <w:r>
        <w:rPr>
          <w:rFonts w:ascii="微软雅黑" w:hAnsi="微软雅黑" w:eastAsia="微软雅黑"/>
          <w:b w:val="0"/>
          <w:i w:val="0"/>
          <w:sz w:val="21"/>
        </w:rPr>
        <w:t>基于 DeepSeek/Qwen 开源大模型 + RAG（检索增强生成）架构，针对 A 股中文金融语境微调。</w:t>
      </w:r>
    </w:p>
    <w:p w14:paraId="02FE8BB8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数据接地：RAG 实时检索财报/公告/舆情，回答都有引用溯源</w:t>
      </w:r>
    </w:p>
    <w:p w14:paraId="11DDEB8D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金融理解：中文金融语义准确率 80%+（内部 200+ 案例测试）</w:t>
      </w:r>
    </w:p>
    <w:p w14:paraId="13D4896B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场景覆盖：财报解读 / 公告分析 / 舆情监控 / 行业研究 / 监管政策</w:t>
      </w:r>
    </w:p>
    <w:p w14:paraId="7E65A6EE">
      <w:r>
        <w:rPr>
          <w:rFonts w:ascii="微软雅黑" w:hAnsi="微软雅黑" w:eastAsia="微软雅黑"/>
          <w:b/>
          <w:i w:val="0"/>
          <w:color w:val="0A1F44"/>
          <w:sz w:val="22"/>
        </w:rPr>
        <w:t>③ 量化策略回测（开源引擎）</w:t>
      </w:r>
    </w:p>
    <w:p w14:paraId="20B47FAE">
      <w:r>
        <w:rPr>
          <w:rFonts w:ascii="微软雅黑" w:hAnsi="微软雅黑" w:eastAsia="微软雅黑"/>
          <w:b w:val="0"/>
          <w:i w:val="0"/>
          <w:sz w:val="21"/>
        </w:rPr>
        <w:t>基于 MIT License 开源的回测引擎（GitHub 公开，7 单元测试 100% 通过），支持 5 类策略：</w:t>
      </w:r>
    </w:p>
    <w:p w14:paraId="15EAF808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多因子（核心） / 双均线 / 动量 / 网格 / 配对交易</w:t>
      </w:r>
    </w:p>
    <w:p w14:paraId="703D139F">
      <w:r>
        <w:rPr>
          <w:rFonts w:ascii="微软雅黑" w:hAnsi="微软雅黑" w:eastAsia="微软雅黑"/>
          <w:b w:val="0"/>
          <w:i w:val="0"/>
          <w:sz w:val="21"/>
        </w:rPr>
        <w:t>T35 修正回测数据：HS300 11.4 年（2015-01~2026-06）多因子 8.56%，夏普 0.63，最大回撤 -38.33%。</w:t>
      </w:r>
    </w:p>
    <w:p w14:paraId="2182EB84">
      <w:r>
        <w:br w:type="page"/>
      </w:r>
    </w:p>
    <w:p w14:paraId="006C0C65">
      <w:pPr>
        <w:spacing w:before="240" w:after="120"/>
      </w:pPr>
      <w:r>
        <w:rPr>
          <w:rFonts w:ascii="微软雅黑" w:hAnsi="微软雅黑" w:eastAsia="微软雅黑"/>
          <w:b/>
          <w:i w:val="0"/>
          <w:color w:val="0A1F44"/>
          <w:sz w:val="30"/>
        </w:rPr>
        <w:t>四、六层技术架构</w:t>
      </w:r>
    </w:p>
    <w:p w14:paraId="2A7C7842">
      <w:r>
        <w:rPr>
          <w:rFonts w:ascii="微软雅黑" w:hAnsi="微软雅黑" w:eastAsia="微软雅黑"/>
          <w:b w:val="0"/>
          <w:i w:val="0"/>
          <w:sz w:val="21"/>
        </w:rPr>
        <w:t>QuantInsight Pro 采用云原生六层架构，自下而上分为：基础设施 → 算法层 → 数据层 → 服务层 → 智能体层 → 应用层。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0E8568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1A558F"/>
          </w:tcPr>
          <w:p w14:paraId="05D71703">
            <w:pPr>
              <w:spacing w:before="8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L6 应用层</w:t>
            </w:r>
          </w:p>
        </w:tc>
        <w:tc>
          <w:tcPr>
            <w:tcW w:w="7654" w:type="dxa"/>
            <w:shd w:val="clear" w:color="auto" w:fill="F4F8FC"/>
          </w:tcPr>
          <w:p w14:paraId="31C2E7F5">
            <w:pPr>
              <w:spacing w:before="80"/>
            </w:pPr>
            <w:r>
              <w:rPr>
                <w:rFonts w:ascii="微软雅黑" w:hAnsi="微软雅黑" w:eastAsia="微软雅黑"/>
                <w:b w:val="0"/>
                <w:i w:val="0"/>
                <w:color w:val="0A1F44"/>
                <w:sz w:val="21"/>
              </w:rPr>
              <w:t>投研终端 · 移动 App · API 接口 · 数据可视化</w:t>
            </w:r>
          </w:p>
        </w:tc>
      </w:tr>
      <w:tr w14:paraId="19F43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0A1F44"/>
          </w:tcPr>
          <w:p w14:paraId="4A6268D1">
            <w:pPr>
              <w:spacing w:before="8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L5 智能体层</w:t>
            </w:r>
          </w:p>
        </w:tc>
        <w:tc>
          <w:tcPr>
            <w:tcW w:w="7654" w:type="dxa"/>
            <w:shd w:val="clear" w:color="auto" w:fill="F4F8FC"/>
          </w:tcPr>
          <w:p w14:paraId="180C192E">
            <w:pPr>
              <w:spacing w:before="80"/>
            </w:pPr>
            <w:r>
              <w:rPr>
                <w:rFonts w:ascii="微软雅黑" w:hAnsi="微软雅黑" w:eastAsia="微软雅黑"/>
                <w:b w:val="0"/>
                <w:i w:val="0"/>
                <w:color w:val="0A1F44"/>
                <w:sz w:val="21"/>
              </w:rPr>
              <w:t>投研助手 · 因子挖掘 · 智能问答 · 自动报告</w:t>
            </w:r>
          </w:p>
        </w:tc>
      </w:tr>
      <w:tr w14:paraId="79B7AA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1A558F"/>
          </w:tcPr>
          <w:p w14:paraId="55AECA9E">
            <w:pPr>
              <w:spacing w:before="8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L4 服务层</w:t>
            </w:r>
          </w:p>
        </w:tc>
        <w:tc>
          <w:tcPr>
            <w:tcW w:w="7654" w:type="dxa"/>
            <w:shd w:val="clear" w:color="auto" w:fill="F4F8FC"/>
          </w:tcPr>
          <w:p w14:paraId="6B4DFE20">
            <w:pPr>
              <w:spacing w:before="80"/>
            </w:pPr>
            <w:r>
              <w:rPr>
                <w:rFonts w:ascii="微软雅黑" w:hAnsi="微软雅黑" w:eastAsia="微软雅黑"/>
                <w:b w:val="0"/>
                <w:i w:val="0"/>
                <w:color w:val="0A1F44"/>
                <w:sz w:val="21"/>
              </w:rPr>
              <w:t>AI 引擎 · 策略引擎 · 风控引擎 · SHAP 解释器</w:t>
            </w:r>
          </w:p>
        </w:tc>
      </w:tr>
      <w:tr w14:paraId="10FB72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0A1F44"/>
          </w:tcPr>
          <w:p w14:paraId="7D114E86">
            <w:pPr>
              <w:spacing w:before="8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L3 数据层</w:t>
            </w:r>
          </w:p>
        </w:tc>
        <w:tc>
          <w:tcPr>
            <w:tcW w:w="7654" w:type="dxa"/>
            <w:shd w:val="clear" w:color="auto" w:fill="F4F8FC"/>
          </w:tcPr>
          <w:p w14:paraId="4F8B407C">
            <w:pPr>
              <w:spacing w:before="80"/>
            </w:pPr>
            <w:r>
              <w:rPr>
                <w:rFonts w:ascii="微软雅黑" w:hAnsi="微软雅黑" w:eastAsia="微软雅黑"/>
                <w:b w:val="0"/>
                <w:i w:val="0"/>
                <w:color w:val="0A1F44"/>
                <w:sz w:val="21"/>
              </w:rPr>
              <w:t>5 大数据源 + 知识图谱 + 自研 17 因子库</w:t>
            </w:r>
          </w:p>
        </w:tc>
      </w:tr>
      <w:tr w14:paraId="3928C2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1A558F"/>
          </w:tcPr>
          <w:p w14:paraId="677CCD23">
            <w:pPr>
              <w:spacing w:before="8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L2 算法层</w:t>
            </w:r>
          </w:p>
        </w:tc>
        <w:tc>
          <w:tcPr>
            <w:tcW w:w="7654" w:type="dxa"/>
            <w:shd w:val="clear" w:color="auto" w:fill="F4F8FC"/>
          </w:tcPr>
          <w:p w14:paraId="70E9F80E">
            <w:pPr>
              <w:spacing w:before="80"/>
            </w:pPr>
            <w:r>
              <w:rPr>
                <w:rFonts w:ascii="微软雅黑" w:hAnsi="微软雅黑" w:eastAsia="微软雅黑"/>
                <w:b w:val="0"/>
                <w:i w:val="0"/>
                <w:color w:val="0A1F44"/>
                <w:sz w:val="21"/>
              </w:rPr>
              <w:t>XGBoost · SHAP TreeExplainer · RAG · 回测引擎</w:t>
            </w:r>
          </w:p>
        </w:tc>
      </w:tr>
      <w:tr w14:paraId="41F095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0A1F44"/>
          </w:tcPr>
          <w:p w14:paraId="543BB781">
            <w:pPr>
              <w:spacing w:before="8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L1 基础设施</w:t>
            </w:r>
          </w:p>
        </w:tc>
        <w:tc>
          <w:tcPr>
            <w:tcW w:w="7654" w:type="dxa"/>
            <w:shd w:val="clear" w:color="auto" w:fill="F4F8FC"/>
          </w:tcPr>
          <w:p w14:paraId="3A62B63C">
            <w:pPr>
              <w:spacing w:before="80"/>
            </w:pPr>
            <w:r>
              <w:rPr>
                <w:rFonts w:ascii="微软雅黑" w:hAnsi="微软雅黑" w:eastAsia="微软雅黑"/>
                <w:b w:val="0"/>
                <w:i w:val="0"/>
                <w:color w:val="0A1F44"/>
                <w:sz w:val="21"/>
              </w:rPr>
              <w:t>云原生 · 弹性算力 · 实时数据流 · 零信任安全</w:t>
            </w:r>
          </w:p>
        </w:tc>
      </w:tr>
    </w:tbl>
    <w:p w14:paraId="76791444">
      <w:r>
        <w:br w:type="page"/>
      </w:r>
    </w:p>
    <w:p w14:paraId="6F024F1A">
      <w:pPr>
        <w:spacing w:before="240" w:after="120"/>
      </w:pPr>
      <w:r>
        <w:rPr>
          <w:rFonts w:ascii="微软雅黑" w:hAnsi="微软雅黑" w:eastAsia="微软雅黑"/>
          <w:b/>
          <w:i w:val="0"/>
          <w:color w:val="0A1F44"/>
          <w:sz w:val="30"/>
        </w:rPr>
        <w:t>五、核心算法（3 大引擎）</w:t>
      </w:r>
    </w:p>
    <w:p w14:paraId="2025A18F">
      <w:pPr>
        <w:spacing w:before="160" w:after="80"/>
      </w:pPr>
      <w:r>
        <w:rPr>
          <w:rFonts w:ascii="微软雅黑" w:hAnsi="微软雅黑" w:eastAsia="微软雅黑"/>
          <w:b/>
          <w:i w:val="0"/>
          <w:color w:val="1A558F"/>
          <w:sz w:val="25"/>
        </w:rPr>
        <w:t>5.1 SHAP 可解释算法（业内独家）</w:t>
      </w:r>
    </w:p>
    <w:p w14:paraId="551291C6">
      <w:r>
        <w:rPr>
          <w:rFonts w:ascii="微软雅黑" w:hAnsi="微软雅黑" w:eastAsia="微软雅黑"/>
          <w:b w:val="0"/>
          <w:i w:val="0"/>
          <w:sz w:val="21"/>
        </w:rPr>
        <w:t>基于 SHAP TreeExplainer，对 XGBoost 17 因子模型进行因子级归因，输出 4 类可视化：</w:t>
      </w:r>
    </w:p>
    <w:p w14:paraId="67ACBF7C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Force Plot：单股因子贡献力图（正负因子可视化）</w:t>
      </w:r>
    </w:p>
    <w:p w14:paraId="288F2907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Summary Plot：跨股票因子重要性全局图</w:t>
      </w:r>
    </w:p>
    <w:p w14:paraId="756424CD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Dependence Plot：单因子 vs 收益散点图</w:t>
      </w:r>
    </w:p>
    <w:p w14:paraId="3608A4B0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Decision Plot：决策路径瀑布图</w:t>
      </w:r>
    </w:p>
    <w:p w14:paraId="2FA5D2E7">
      <w:r>
        <w:rPr>
          <w:rFonts w:ascii="微软雅黑" w:hAnsi="微软雅黑" w:eastAsia="微软雅黑"/>
          <w:b/>
          <w:i w:val="0"/>
          <w:color w:val="C0392B"/>
          <w:sz w:val="21"/>
        </w:rPr>
        <w:t>价值：满足证监会算法备案要求的可解释性，避免量化策略黑盒。</w:t>
      </w:r>
    </w:p>
    <w:p w14:paraId="556326B2">
      <w:pPr>
        <w:spacing w:before="160" w:after="80"/>
      </w:pPr>
      <w:r>
        <w:rPr>
          <w:rFonts w:ascii="微软雅黑" w:hAnsi="微软雅黑" w:eastAsia="微软雅黑"/>
          <w:b/>
          <w:i w:val="0"/>
          <w:color w:val="1A558F"/>
          <w:sz w:val="25"/>
        </w:rPr>
        <w:t>5.2 RAG 检索增强生成</w:t>
      </w:r>
    </w:p>
    <w:p w14:paraId="43DF4FB9">
      <w:r>
        <w:rPr>
          <w:rFonts w:ascii="微软雅黑" w:hAnsi="微软雅黑" w:eastAsia="微软雅黑"/>
          <w:b w:val="0"/>
          <w:i w:val="0"/>
          <w:sz w:val="21"/>
        </w:rPr>
        <w:t>基于向量数据库（FAISS）+ 全文索引（Elasticsearch）双引擎，从 5 类数据源（财报/公告/舆情/产业链/消费行为）检索上下文，喂给 LLM 生成答案。</w:t>
      </w:r>
    </w:p>
    <w:p w14:paraId="0EBAF5BF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数据接地：所有回答都有引用溯源（URL/段落/页码）</w:t>
      </w:r>
    </w:p>
    <w:p w14:paraId="4998E81F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中文优化：金融术语词典 + 中文分词优化（jieba + THULAC）</w:t>
      </w:r>
    </w:p>
    <w:p w14:paraId="7BD5BA77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实时性：分钟级数据更新，秒级响应</w:t>
      </w:r>
    </w:p>
    <w:p w14:paraId="7CC5FDD7">
      <w:pPr>
        <w:spacing w:before="160" w:after="80"/>
      </w:pPr>
      <w:r>
        <w:rPr>
          <w:rFonts w:ascii="微软雅黑" w:hAnsi="微软雅黑" w:eastAsia="微软雅黑"/>
          <w:b/>
          <w:i w:val="0"/>
          <w:color w:val="1A558F"/>
          <w:sz w:val="25"/>
        </w:rPr>
        <w:t>5.3 多因子模型（17 因子）</w:t>
      </w:r>
    </w:p>
    <w:p w14:paraId="193F7D80">
      <w:r>
        <w:rPr>
          <w:rFonts w:ascii="微软雅黑" w:hAnsi="微软雅黑" w:eastAsia="微软雅黑"/>
          <w:b w:val="0"/>
          <w:i w:val="0"/>
          <w:sz w:val="21"/>
        </w:rPr>
        <w:t>6 大类 17 因子（按等权 + IC 加权 + 最大化 ICIR 三种组合方式）：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535"/>
        <w:gridCol w:w="3118"/>
      </w:tblGrid>
      <w:tr w14:paraId="72F75D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1A558F"/>
          </w:tcPr>
          <w:p w14:paraId="66638B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因子类别</w:t>
            </w:r>
          </w:p>
        </w:tc>
        <w:tc>
          <w:tcPr>
            <w:tcW w:w="4535" w:type="dxa"/>
            <w:shd w:val="clear" w:color="auto" w:fill="1A558F"/>
          </w:tcPr>
          <w:p w14:paraId="589087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具体因子</w:t>
            </w:r>
          </w:p>
        </w:tc>
        <w:tc>
          <w:tcPr>
            <w:tcW w:w="3118" w:type="dxa"/>
            <w:shd w:val="clear" w:color="auto" w:fill="1A558F"/>
          </w:tcPr>
          <w:p w14:paraId="451CB7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 w14:paraId="3AA868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AB6C5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价值</w:t>
            </w:r>
          </w:p>
        </w:tc>
        <w:tc>
          <w:tcPr>
            <w:tcW w:w="4535" w:type="dxa"/>
          </w:tcPr>
          <w:p w14:paraId="60FB3A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PE / PB / PCF / PS</w:t>
            </w:r>
          </w:p>
        </w:tc>
        <w:tc>
          <w:tcPr>
            <w:tcW w:w="3118" w:type="dxa"/>
          </w:tcPr>
          <w:p w14:paraId="700F9B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财务估值</w:t>
            </w:r>
          </w:p>
        </w:tc>
      </w:tr>
      <w:tr w14:paraId="7E41BA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EAF8E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质量</w:t>
            </w:r>
          </w:p>
        </w:tc>
        <w:tc>
          <w:tcPr>
            <w:tcW w:w="4535" w:type="dxa"/>
          </w:tcPr>
          <w:p w14:paraId="6CA895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ROE / ROA / 毛利率 / 净利率</w:t>
            </w:r>
          </w:p>
        </w:tc>
        <w:tc>
          <w:tcPr>
            <w:tcW w:w="3118" w:type="dxa"/>
          </w:tcPr>
          <w:p w14:paraId="356771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盈利能力</w:t>
            </w:r>
          </w:p>
        </w:tc>
      </w:tr>
      <w:tr w14:paraId="642D36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B7546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动量</w:t>
            </w:r>
          </w:p>
        </w:tc>
        <w:tc>
          <w:tcPr>
            <w:tcW w:w="4535" w:type="dxa"/>
          </w:tcPr>
          <w:p w14:paraId="5E81D8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1M / 3M / 6M / 12M 收益率</w:t>
            </w:r>
          </w:p>
        </w:tc>
        <w:tc>
          <w:tcPr>
            <w:tcW w:w="3118" w:type="dxa"/>
          </w:tcPr>
          <w:p w14:paraId="69F8EE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趋势跟踪</w:t>
            </w:r>
          </w:p>
        </w:tc>
      </w:tr>
      <w:tr w14:paraId="621946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51706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波动</w:t>
            </w:r>
          </w:p>
        </w:tc>
        <w:tc>
          <w:tcPr>
            <w:tcW w:w="4535" w:type="dxa"/>
          </w:tcPr>
          <w:p w14:paraId="3A34A3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20D / 60D 波动率</w:t>
            </w:r>
          </w:p>
        </w:tc>
        <w:tc>
          <w:tcPr>
            <w:tcW w:w="3118" w:type="dxa"/>
          </w:tcPr>
          <w:p w14:paraId="2682F0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风险度量</w:t>
            </w:r>
          </w:p>
        </w:tc>
      </w:tr>
      <w:tr w14:paraId="72801F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2BBBA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情绪</w:t>
            </w:r>
          </w:p>
        </w:tc>
        <w:tc>
          <w:tcPr>
            <w:tcW w:w="4535" w:type="dxa"/>
          </w:tcPr>
          <w:p w14:paraId="056906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换手率 / 资金流 / 北向资金</w:t>
            </w:r>
          </w:p>
        </w:tc>
        <w:tc>
          <w:tcPr>
            <w:tcW w:w="3118" w:type="dxa"/>
          </w:tcPr>
          <w:p w14:paraId="6BA3C3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市场情绪</w:t>
            </w:r>
          </w:p>
        </w:tc>
      </w:tr>
      <w:tr w14:paraId="4F7F27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77FCE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技术</w:t>
            </w:r>
          </w:p>
        </w:tc>
        <w:tc>
          <w:tcPr>
            <w:tcW w:w="4535" w:type="dxa"/>
          </w:tcPr>
          <w:p w14:paraId="292A4B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MACD / RSI / 布林带</w:t>
            </w:r>
          </w:p>
        </w:tc>
        <w:tc>
          <w:tcPr>
            <w:tcW w:w="3118" w:type="dxa"/>
          </w:tcPr>
          <w:p w14:paraId="3DDA23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技术指标</w:t>
            </w:r>
          </w:p>
        </w:tc>
      </w:tr>
    </w:tbl>
    <w:p w14:paraId="0E509CDA">
      <w:r>
        <w:br w:type="page"/>
      </w:r>
    </w:p>
    <w:p w14:paraId="6CB40804">
      <w:pPr>
        <w:spacing w:before="240" w:after="120"/>
      </w:pPr>
      <w:r>
        <w:rPr>
          <w:rFonts w:ascii="微软雅黑" w:hAnsi="微软雅黑" w:eastAsia="微软雅黑"/>
          <w:b/>
          <w:i w:val="0"/>
          <w:color w:val="0A1F44"/>
          <w:sz w:val="30"/>
        </w:rPr>
        <w:t>六、5 大差异化优势</w:t>
      </w:r>
    </w:p>
    <w:p w14:paraId="5968C902">
      <w:r>
        <w:rPr>
          <w:rFonts w:ascii="微软雅黑" w:hAnsi="微软雅黑" w:eastAsia="微软雅黑"/>
          <w:b/>
          <w:i w:val="0"/>
          <w:color w:val="C0392B"/>
          <w:sz w:val="24"/>
        </w:rPr>
        <w:t>1. SHAP 可解释性</w:t>
      </w:r>
    </w:p>
    <w:p w14:paraId="388B33E2">
      <w:r>
        <w:rPr>
          <w:rFonts w:ascii="微软雅黑" w:hAnsi="微软雅黑" w:eastAsia="微软雅黑"/>
          <w:b w:val="0"/>
          <w:i w:val="0"/>
          <w:sz w:val="21"/>
        </w:rPr>
        <w:t>业内首家深度集成到 A 股智能选股流程</w:t>
      </w:r>
    </w:p>
    <w:p w14:paraId="31854552">
      <w:pPr>
        <w:ind w:left="420"/>
      </w:pPr>
      <w:r>
        <w:rPr>
          <w:rFonts w:ascii="微软雅黑" w:hAnsi="微软雅黑" w:eastAsia="微软雅黑"/>
          <w:b/>
          <w:i w:val="0"/>
          <w:color w:val="666666"/>
          <w:sz w:val="20"/>
        </w:rPr>
        <w:t>→ 竞争对比：</w:t>
      </w:r>
      <w:r>
        <w:rPr>
          <w:rFonts w:ascii="微软雅黑" w:hAnsi="微软雅黑" w:eastAsia="微软雅黑"/>
          <w:b w:val="0"/>
          <w:i/>
          <w:color w:val="C0392B"/>
          <w:sz w:val="20"/>
        </w:rPr>
        <w:t>95% 业内无（监管刚需）</w:t>
      </w:r>
    </w:p>
    <w:p w14:paraId="319E0BDB"/>
    <w:p w14:paraId="3B080429">
      <w:r>
        <w:rPr>
          <w:rFonts w:ascii="微软雅黑" w:hAnsi="微软雅黑" w:eastAsia="微软雅黑"/>
          <w:b/>
          <w:i w:val="0"/>
          <w:color w:val="1A558F"/>
          <w:sz w:val="24"/>
        </w:rPr>
        <w:t>2. AI 投研智能体</w:t>
      </w:r>
    </w:p>
    <w:p w14:paraId="5384B35A">
      <w:r>
        <w:rPr>
          <w:rFonts w:ascii="微软雅黑" w:hAnsi="微软雅黑" w:eastAsia="微软雅黑"/>
          <w:b w:val="0"/>
          <w:i w:val="0"/>
          <w:sz w:val="21"/>
        </w:rPr>
        <w:t>DeepSeek/Qwen 微调 + RAG，中文金融 80%+</w:t>
      </w:r>
    </w:p>
    <w:p w14:paraId="29B2973E">
      <w:pPr>
        <w:ind w:left="420"/>
      </w:pPr>
      <w:r>
        <w:rPr>
          <w:rFonts w:ascii="微软雅黑" w:hAnsi="微软雅黑" w:eastAsia="微软雅黑"/>
          <w:b/>
          <w:i w:val="0"/>
          <w:color w:val="666666"/>
          <w:sz w:val="20"/>
        </w:rPr>
        <w:t>→ 竞争对比：</w:t>
      </w:r>
      <w:r>
        <w:rPr>
          <w:rFonts w:ascii="微软雅黑" w:hAnsi="微软雅黑" w:eastAsia="微软雅黑"/>
          <w:b w:val="0"/>
          <w:i/>
          <w:color w:val="C0392B"/>
          <w:sz w:val="20"/>
        </w:rPr>
        <w:t>90% 业内无（12-18 月窗口）</w:t>
      </w:r>
    </w:p>
    <w:p w14:paraId="159CE5E4"/>
    <w:p w14:paraId="22605EB9">
      <w:r>
        <w:rPr>
          <w:rFonts w:ascii="微软雅黑" w:hAnsi="微软雅黑" w:eastAsia="微软雅黑"/>
          <w:b/>
          <w:i w:val="0"/>
          <w:color w:val="0A1F44"/>
          <w:sz w:val="24"/>
        </w:rPr>
        <w:t>3. 5 类另类数据融合</w:t>
      </w:r>
    </w:p>
    <w:p w14:paraId="4258B1C8">
      <w:r>
        <w:rPr>
          <w:rFonts w:ascii="微软雅黑" w:hAnsi="微软雅黑" w:eastAsia="微软雅黑"/>
          <w:b w:val="0"/>
          <w:i w:val="0"/>
          <w:sz w:val="21"/>
        </w:rPr>
        <w:t>财报/公告/舆情/产业链/消费行为</w:t>
      </w:r>
    </w:p>
    <w:p w14:paraId="7AFA9878">
      <w:pPr>
        <w:ind w:left="420"/>
      </w:pPr>
      <w:r>
        <w:rPr>
          <w:rFonts w:ascii="微软雅黑" w:hAnsi="微软雅黑" w:eastAsia="微软雅黑"/>
          <w:b/>
          <w:i w:val="0"/>
          <w:color w:val="666666"/>
          <w:sz w:val="20"/>
        </w:rPr>
        <w:t>→ 竞争对比：</w:t>
      </w:r>
      <w:r>
        <w:rPr>
          <w:rFonts w:ascii="微软雅黑" w:hAnsi="微软雅黑" w:eastAsia="微软雅黑"/>
          <w:b w:val="0"/>
          <w:i/>
          <w:color w:val="C0392B"/>
          <w:sz w:val="20"/>
        </w:rPr>
        <w:t>Wind 仅 1-2 类</w:t>
      </w:r>
    </w:p>
    <w:p w14:paraId="11AD5CFD"/>
    <w:p w14:paraId="67A8A5E3">
      <w:r>
        <w:rPr>
          <w:rFonts w:ascii="微软雅黑" w:hAnsi="微软雅黑" w:eastAsia="微软雅黑"/>
          <w:b/>
          <w:i w:val="0"/>
          <w:color w:val="2E7D32"/>
          <w:sz w:val="24"/>
        </w:rPr>
        <w:t>4. 开源回测引擎</w:t>
      </w:r>
    </w:p>
    <w:p w14:paraId="6BE30EC9">
      <w:r>
        <w:rPr>
          <w:rFonts w:ascii="微软雅黑" w:hAnsi="微软雅黑" w:eastAsia="微软雅黑"/>
          <w:b w:val="0"/>
          <w:i w:val="0"/>
          <w:sz w:val="21"/>
        </w:rPr>
        <w:t>MIT License + 7 单元测试 100% 通过</w:t>
      </w:r>
    </w:p>
    <w:p w14:paraId="5C93466E">
      <w:pPr>
        <w:ind w:left="420"/>
      </w:pPr>
      <w:r>
        <w:rPr>
          <w:rFonts w:ascii="微软雅黑" w:hAnsi="微软雅黑" w:eastAsia="微软雅黑"/>
          <w:b/>
          <w:i w:val="0"/>
          <w:color w:val="666666"/>
          <w:sz w:val="20"/>
        </w:rPr>
        <w:t>→ 竞争对比：</w:t>
      </w:r>
      <w:r>
        <w:rPr>
          <w:rFonts w:ascii="微软雅黑" w:hAnsi="微软雅黑" w:eastAsia="微软雅黑"/>
          <w:b w:val="0"/>
          <w:i/>
          <w:color w:val="C0392B"/>
          <w:sz w:val="20"/>
        </w:rPr>
        <w:t>黑盒为主</w:t>
      </w:r>
    </w:p>
    <w:p w14:paraId="0D08C159"/>
    <w:p w14:paraId="44C71198">
      <w:r>
        <w:rPr>
          <w:rFonts w:ascii="微软雅黑" w:hAnsi="微软雅黑" w:eastAsia="微软雅黑"/>
          <w:b/>
          <w:i w:val="0"/>
          <w:color w:val="E69F00"/>
          <w:sz w:val="24"/>
        </w:rPr>
        <w:t>5. 中小私募聚焦</w:t>
      </w:r>
    </w:p>
    <w:p w14:paraId="4BB26880">
      <w:r>
        <w:rPr>
          <w:rFonts w:ascii="微软雅黑" w:hAnsi="微软雅黑" w:eastAsia="微软雅黑"/>
          <w:b w:val="0"/>
          <w:i w:val="0"/>
          <w:sz w:val="21"/>
        </w:rPr>
        <w:t>客单价 50-200 万 / 9 类机构全覆盖</w:t>
      </w:r>
    </w:p>
    <w:p w14:paraId="5C7B626E">
      <w:pPr>
        <w:ind w:left="420"/>
      </w:pPr>
      <w:r>
        <w:rPr>
          <w:rFonts w:ascii="微软雅黑" w:hAnsi="微软雅黑" w:eastAsia="微软雅黑"/>
          <w:b/>
          <w:i w:val="0"/>
          <w:color w:val="666666"/>
          <w:sz w:val="20"/>
        </w:rPr>
        <w:t>→ 竞争对比：</w:t>
      </w:r>
      <w:r>
        <w:rPr>
          <w:rFonts w:ascii="微软雅黑" w:hAnsi="微软雅黑" w:eastAsia="微软雅黑"/>
          <w:b w:val="0"/>
          <w:i/>
          <w:color w:val="C0392B"/>
          <w:sz w:val="20"/>
        </w:rPr>
        <w:t>5000+ 长尾蓝海</w:t>
      </w:r>
    </w:p>
    <w:p w14:paraId="51442B45"/>
    <w:p w14:paraId="37871B14">
      <w:r>
        <w:br w:type="page"/>
      </w:r>
    </w:p>
    <w:p w14:paraId="37297C9C">
      <w:pPr>
        <w:spacing w:before="240" w:after="120"/>
      </w:pPr>
      <w:r>
        <w:rPr>
          <w:rFonts w:ascii="微软雅黑" w:hAnsi="微软雅黑" w:eastAsia="微软雅黑"/>
          <w:b/>
          <w:i w:val="0"/>
          <w:color w:val="0A1F44"/>
          <w:sz w:val="30"/>
        </w:rPr>
        <w:t>七、回测验证（T35 修正后真实数据）</w:t>
      </w:r>
    </w:p>
    <w:p w14:paraId="552FEB11">
      <w:r>
        <w:rPr>
          <w:rFonts w:ascii="微软雅黑" w:hAnsi="微软雅黑" w:eastAsia="微软雅黑"/>
          <w:b w:val="0"/>
          <w:i/>
          <w:color w:val="666666"/>
          <w:sz w:val="21"/>
        </w:rPr>
        <w:t>回测周期：2015-01 ~ 2026-06（11.4 年）· 标的：沪深 300 成分股 · 数据源：akshare + Tushare + Wind 多源校验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1"/>
        <w:gridCol w:w="1691"/>
        <w:gridCol w:w="1690"/>
        <w:gridCol w:w="1693"/>
        <w:gridCol w:w="1969"/>
      </w:tblGrid>
      <w:tr w14:paraId="5DB6EB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shd w:val="clear" w:color="auto" w:fill="1A558F"/>
          </w:tcPr>
          <w:p w14:paraId="7E66EA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策略</w:t>
            </w:r>
          </w:p>
        </w:tc>
        <w:tc>
          <w:tcPr>
            <w:tcW w:w="1701" w:type="dxa"/>
            <w:shd w:val="clear" w:color="auto" w:fill="1A558F"/>
          </w:tcPr>
          <w:p w14:paraId="5DC67BB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年化收益</w:t>
            </w:r>
          </w:p>
        </w:tc>
        <w:tc>
          <w:tcPr>
            <w:tcW w:w="1701" w:type="dxa"/>
            <w:shd w:val="clear" w:color="auto" w:fill="1A558F"/>
          </w:tcPr>
          <w:p w14:paraId="3D4B7F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夏普比率</w:t>
            </w:r>
          </w:p>
        </w:tc>
        <w:tc>
          <w:tcPr>
            <w:tcW w:w="1701" w:type="dxa"/>
            <w:shd w:val="clear" w:color="auto" w:fill="1A558F"/>
          </w:tcPr>
          <w:p w14:paraId="41CC21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最大回撤</w:t>
            </w:r>
          </w:p>
        </w:tc>
        <w:tc>
          <w:tcPr>
            <w:tcW w:w="1984" w:type="dxa"/>
            <w:shd w:val="clear" w:color="auto" w:fill="1A558F"/>
          </w:tcPr>
          <w:p w14:paraId="61C44D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交易次数</w:t>
            </w:r>
          </w:p>
        </w:tc>
      </w:tr>
      <w:tr w14:paraId="09902F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6D5699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买入持有 (基准)</w:t>
            </w:r>
          </w:p>
        </w:tc>
        <w:tc>
          <w:tcPr>
            <w:tcW w:w="1701" w:type="dxa"/>
          </w:tcPr>
          <w:p w14:paraId="14C1EA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5.46%</w:t>
            </w:r>
          </w:p>
        </w:tc>
        <w:tc>
          <w:tcPr>
            <w:tcW w:w="1701" w:type="dxa"/>
          </w:tcPr>
          <w:p w14:paraId="687356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0.35</w:t>
            </w:r>
          </w:p>
        </w:tc>
        <w:tc>
          <w:tcPr>
            <w:tcW w:w="1701" w:type="dxa"/>
          </w:tcPr>
          <w:p w14:paraId="4E9BD7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-72.30%</w:t>
            </w:r>
          </w:p>
        </w:tc>
        <w:tc>
          <w:tcPr>
            <w:tcW w:w="1984" w:type="dxa"/>
          </w:tcPr>
          <w:p w14:paraId="481017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</w:t>
            </w:r>
          </w:p>
        </w:tc>
      </w:tr>
      <w:tr w14:paraId="6692BE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B71F2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双均线</w:t>
            </w:r>
          </w:p>
        </w:tc>
        <w:tc>
          <w:tcPr>
            <w:tcW w:w="1701" w:type="dxa"/>
          </w:tcPr>
          <w:p w14:paraId="0EFE16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6.57%</w:t>
            </w:r>
          </w:p>
        </w:tc>
        <w:tc>
          <w:tcPr>
            <w:tcW w:w="1701" w:type="dxa"/>
          </w:tcPr>
          <w:p w14:paraId="56EC87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0.48</w:t>
            </w:r>
          </w:p>
        </w:tc>
        <w:tc>
          <w:tcPr>
            <w:tcW w:w="1701" w:type="dxa"/>
          </w:tcPr>
          <w:p w14:paraId="5F7D15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-49.39%</w:t>
            </w:r>
          </w:p>
        </w:tc>
        <w:tc>
          <w:tcPr>
            <w:tcW w:w="1984" w:type="dxa"/>
          </w:tcPr>
          <w:p w14:paraId="428BBC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109</w:t>
            </w:r>
          </w:p>
        </w:tc>
      </w:tr>
      <w:tr w14:paraId="5902BD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0ABEEC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多因子 (核心)</w:t>
            </w:r>
          </w:p>
        </w:tc>
        <w:tc>
          <w:tcPr>
            <w:tcW w:w="1701" w:type="dxa"/>
          </w:tcPr>
          <w:p w14:paraId="6F22EA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8.56%</w:t>
            </w:r>
          </w:p>
        </w:tc>
        <w:tc>
          <w:tcPr>
            <w:tcW w:w="1701" w:type="dxa"/>
          </w:tcPr>
          <w:p w14:paraId="31DE86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0.63</w:t>
            </w:r>
          </w:p>
        </w:tc>
        <w:tc>
          <w:tcPr>
            <w:tcW w:w="1701" w:type="dxa"/>
          </w:tcPr>
          <w:p w14:paraId="4F170C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-38.33%</w:t>
            </w:r>
          </w:p>
        </w:tc>
        <w:tc>
          <w:tcPr>
            <w:tcW w:w="1984" w:type="dxa"/>
          </w:tcPr>
          <w:p w14:paraId="6E3633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407</w:t>
            </w:r>
          </w:p>
        </w:tc>
      </w:tr>
      <w:tr w14:paraId="40F33E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28B3E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动量</w:t>
            </w:r>
          </w:p>
        </w:tc>
        <w:tc>
          <w:tcPr>
            <w:tcW w:w="1701" w:type="dxa"/>
          </w:tcPr>
          <w:p w14:paraId="65093F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8.13%</w:t>
            </w:r>
          </w:p>
        </w:tc>
        <w:tc>
          <w:tcPr>
            <w:tcW w:w="1701" w:type="dxa"/>
          </w:tcPr>
          <w:p w14:paraId="3B2183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0.57</w:t>
            </w:r>
          </w:p>
        </w:tc>
        <w:tc>
          <w:tcPr>
            <w:tcW w:w="1701" w:type="dxa"/>
          </w:tcPr>
          <w:p w14:paraId="18D56D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-39.66%</w:t>
            </w:r>
          </w:p>
        </w:tc>
        <w:tc>
          <w:tcPr>
            <w:tcW w:w="1984" w:type="dxa"/>
          </w:tcPr>
          <w:p w14:paraId="21DD15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255</w:t>
            </w:r>
          </w:p>
        </w:tc>
      </w:tr>
    </w:tbl>
    <w:p w14:paraId="32723297">
      <w:pPr>
        <w:spacing w:before="160"/>
      </w:pPr>
      <w:r>
        <w:rPr>
          <w:rFonts w:ascii="微软雅黑" w:hAnsi="微软雅黑" w:eastAsia="微软雅黑"/>
          <w:b/>
          <w:i w:val="0"/>
          <w:color w:val="C0392B"/>
          <w:sz w:val="22"/>
        </w:rPr>
        <w:t>★ 修正声明（T35）</w:t>
      </w:r>
    </w:p>
    <w:p w14:paraId="37337298">
      <w:r>
        <w:rPr>
          <w:rFonts w:ascii="微软雅黑" w:hAnsi="微软雅黑" w:eastAsia="微软雅黑"/>
          <w:b w:val="0"/>
          <w:i w:val="0"/>
          <w:color w:val="C0392B"/>
          <w:sz w:val="21"/>
        </w:rPr>
        <w:t>早期版本曾报告多因子年化 19.22%，经 T35 开源引擎修正交易计数（浮点截断 bug）后确认为 8.56%。团队主动修正并声明，秉承「不夸大、不掩饰」的工程态度。</w:t>
      </w:r>
    </w:p>
    <w:p w14:paraId="09FC5260"/>
    <w:p w14:paraId="0CA9DB57">
      <w:pPr>
        <w:spacing w:before="160" w:after="80"/>
      </w:pPr>
      <w:r>
        <w:rPr>
          <w:rFonts w:ascii="微软雅黑" w:hAnsi="微软雅黑" w:eastAsia="微软雅黑"/>
          <w:b/>
          <w:i w:val="0"/>
          <w:color w:val="1A558F"/>
          <w:sz w:val="25"/>
        </w:rPr>
        <w:t>7.1 其他指数验证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268"/>
        <w:gridCol w:w="2268"/>
        <w:gridCol w:w="2268"/>
      </w:tblGrid>
      <w:tr w14:paraId="1DA156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35" w:type="dxa"/>
            <w:shd w:val="clear" w:color="auto" w:fill="1A558F"/>
          </w:tcPr>
          <w:p w14:paraId="1EF827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指数</w:t>
            </w:r>
          </w:p>
        </w:tc>
        <w:tc>
          <w:tcPr>
            <w:tcW w:w="2268" w:type="dxa"/>
            <w:shd w:val="clear" w:color="auto" w:fill="1A558F"/>
          </w:tcPr>
          <w:p w14:paraId="6CEB00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多因子年化</w:t>
            </w:r>
          </w:p>
        </w:tc>
        <w:tc>
          <w:tcPr>
            <w:tcW w:w="2268" w:type="dxa"/>
            <w:shd w:val="clear" w:color="auto" w:fill="1A558F"/>
          </w:tcPr>
          <w:p w14:paraId="0913EA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基准年化</w:t>
            </w:r>
          </w:p>
        </w:tc>
        <w:tc>
          <w:tcPr>
            <w:tcW w:w="2268" w:type="dxa"/>
            <w:shd w:val="clear" w:color="auto" w:fill="1A558F"/>
          </w:tcPr>
          <w:p w14:paraId="65C3CC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超额收益</w:t>
            </w:r>
          </w:p>
        </w:tc>
      </w:tr>
      <w:tr w14:paraId="3D9BDA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2913D4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HS300 (核心)</w:t>
            </w:r>
          </w:p>
        </w:tc>
        <w:tc>
          <w:tcPr>
            <w:tcW w:w="2268" w:type="dxa"/>
          </w:tcPr>
          <w:p w14:paraId="1567C0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8.56%</w:t>
            </w:r>
          </w:p>
        </w:tc>
        <w:tc>
          <w:tcPr>
            <w:tcW w:w="2268" w:type="dxa"/>
          </w:tcPr>
          <w:p w14:paraId="3A189A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5.46%</w:t>
            </w:r>
          </w:p>
        </w:tc>
        <w:tc>
          <w:tcPr>
            <w:tcW w:w="2268" w:type="dxa"/>
          </w:tcPr>
          <w:p w14:paraId="5F2C6A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+3.10%</w:t>
            </w:r>
          </w:p>
        </w:tc>
      </w:tr>
      <w:tr w14:paraId="77220D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65BAD5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ZZ500</w:t>
            </w:r>
          </w:p>
        </w:tc>
        <w:tc>
          <w:tcPr>
            <w:tcW w:w="2268" w:type="dxa"/>
          </w:tcPr>
          <w:p w14:paraId="4C433E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24.48%</w:t>
            </w:r>
          </w:p>
        </w:tc>
        <w:tc>
          <w:tcPr>
            <w:tcW w:w="2268" w:type="dxa"/>
          </w:tcPr>
          <w:p w14:paraId="21D0C0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20.48%</w:t>
            </w:r>
          </w:p>
        </w:tc>
        <w:tc>
          <w:tcPr>
            <w:tcW w:w="2268" w:type="dxa"/>
          </w:tcPr>
          <w:p w14:paraId="5A2937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+4.00%</w:t>
            </w:r>
          </w:p>
        </w:tc>
      </w:tr>
      <w:tr w14:paraId="0C8884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7EA9C2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CYB (创业板)</w:t>
            </w:r>
          </w:p>
        </w:tc>
        <w:tc>
          <w:tcPr>
            <w:tcW w:w="2268" w:type="dxa"/>
          </w:tcPr>
          <w:p w14:paraId="79407D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11.55%</w:t>
            </w:r>
          </w:p>
        </w:tc>
        <w:tc>
          <w:tcPr>
            <w:tcW w:w="2268" w:type="dxa"/>
          </w:tcPr>
          <w:p w14:paraId="6B4F54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13.09%</w:t>
            </w:r>
          </w:p>
        </w:tc>
        <w:tc>
          <w:tcPr>
            <w:tcW w:w="2268" w:type="dxa"/>
          </w:tcPr>
          <w:p w14:paraId="61595C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-1.54%</w:t>
            </w:r>
          </w:p>
        </w:tc>
      </w:tr>
    </w:tbl>
    <w:p w14:paraId="17C8CEF6">
      <w:r>
        <w:rPr>
          <w:rFonts w:ascii="微软雅黑" w:hAnsi="微软雅黑" w:eastAsia="微软雅黑"/>
          <w:b w:val="0"/>
          <w:i/>
          <w:color w:val="666666"/>
          <w:sz w:val="20"/>
        </w:rPr>
        <w:t>说明：HS300 与 ZZ500 跑赢基准，CYB 略低于基准（创业板波动大，多因子在低波动环境更稳定），整体策略对中大盘股表现更优。</w:t>
      </w:r>
    </w:p>
    <w:p w14:paraId="1F38BDB6">
      <w:r>
        <w:br w:type="page"/>
      </w:r>
    </w:p>
    <w:p w14:paraId="603986E0">
      <w:pPr>
        <w:spacing w:before="240" w:after="120"/>
      </w:pPr>
      <w:r>
        <w:rPr>
          <w:rFonts w:ascii="微软雅黑" w:hAnsi="微软雅黑" w:eastAsia="微软雅黑"/>
          <w:b/>
          <w:i w:val="0"/>
          <w:color w:val="0A1F44"/>
          <w:sz w:val="30"/>
        </w:rPr>
        <w:t>八、技术路线图（3 阶段）</w:t>
      </w:r>
    </w:p>
    <w:p w14:paraId="1C816950">
      <w:pPr>
        <w:spacing w:before="160" w:after="80"/>
      </w:pPr>
      <w:r>
        <w:rPr>
          <w:rFonts w:ascii="微软雅黑" w:hAnsi="微软雅黑" w:eastAsia="微软雅黑"/>
          <w:b/>
          <w:i w:val="0"/>
          <w:color w:val="1A558F"/>
          <w:sz w:val="25"/>
        </w:rPr>
        <w:t>阶段 1：MVP（2026 H2）</w:t>
      </w:r>
    </w:p>
    <w:p w14:paraId="589FD96E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5 客户上线，AI 智能体 V1</w:t>
      </w:r>
    </w:p>
    <w:p w14:paraId="21C4B361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永字资管战略合作落地（5 模块 + 1 推荐单位）</w:t>
      </w:r>
    </w:p>
    <w:p w14:paraId="78242948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完成 SHAP 可解释选股 V1 商业化</w:t>
      </w:r>
    </w:p>
    <w:p w14:paraId="15676C38">
      <w:pPr>
        <w:spacing w:before="160" w:after="80"/>
      </w:pPr>
      <w:r>
        <w:rPr>
          <w:rFonts w:ascii="微软雅黑" w:hAnsi="微软雅黑" w:eastAsia="微软雅黑"/>
          <w:b/>
          <w:i w:val="0"/>
          <w:color w:val="1A558F"/>
          <w:sz w:val="25"/>
        </w:rPr>
        <w:t>阶段 2：成长（2027–2028）</w:t>
      </w:r>
    </w:p>
    <w:p w14:paraId="5509A67A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100 客户，SHAP + 另类数据 V2</w:t>
      </w:r>
    </w:p>
    <w:p w14:paraId="59711116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监管沙盒申请（北/上/深/海南自贸港）</w:t>
      </w:r>
    </w:p>
    <w:p w14:paraId="0BC721BF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LTV/CAC 82.2, NRR 140% 验证</w:t>
      </w:r>
    </w:p>
    <w:p w14:paraId="15017AB9">
      <w:pPr>
        <w:spacing w:before="160" w:after="80"/>
      </w:pPr>
      <w:r>
        <w:rPr>
          <w:rFonts w:ascii="微软雅黑" w:hAnsi="微软雅黑" w:eastAsia="微软雅黑"/>
          <w:b/>
          <w:i w:val="0"/>
          <w:color w:val="1A558F"/>
          <w:sz w:val="25"/>
        </w:rPr>
        <w:t>阶段 3：领先（2029–2030）</w:t>
      </w:r>
    </w:p>
    <w:p w14:paraId="50179A16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620 客户，行业 Top 3</w:t>
      </w:r>
    </w:p>
    <w:p w14:paraId="18FB061E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IPO 准备（科创板/北交所，IRR 28%）</w:t>
      </w:r>
    </w:p>
    <w:p w14:paraId="4C2803DD">
      <w:pPr>
        <w:pStyle w:val="16"/>
      </w:pPr>
      <w:r>
        <w:rPr>
          <w:rFonts w:ascii="微软雅黑" w:hAnsi="微软雅黑" w:eastAsia="微软雅黑"/>
          <w:b w:val="0"/>
          <w:i w:val="0"/>
          <w:sz w:val="21"/>
        </w:rPr>
        <w:t>国际化（香港/新加坡资管科技子公司）</w:t>
      </w:r>
    </w:p>
    <w:p w14:paraId="60FB757B">
      <w:pPr>
        <w:spacing w:before="240" w:after="120"/>
      </w:pPr>
      <w:r>
        <w:rPr>
          <w:rFonts w:ascii="微软雅黑" w:hAnsi="微软雅黑" w:eastAsia="微软雅黑"/>
          <w:b/>
          <w:i w:val="0"/>
          <w:color w:val="0A1F44"/>
          <w:sz w:val="30"/>
        </w:rPr>
        <w:t>九、落地效果（永字资管合作验证）</w:t>
      </w:r>
    </w:p>
    <w:p w14:paraId="6109ACF4">
      <w:r>
        <w:rPr>
          <w:rFonts w:ascii="微软雅黑" w:hAnsi="微软雅黑" w:eastAsia="微软雅黑"/>
          <w:b w:val="0"/>
          <w:i w:val="0"/>
          <w:sz w:val="21"/>
        </w:rPr>
        <w:t>杭州永字资产管理有限公司（中基协备案私募）作为 QuantInsight Pro 首位战略合作客户（2026-07 签约），覆盖 5 大合作模块：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685"/>
        <w:gridCol w:w="3685"/>
      </w:tblGrid>
      <w:tr w14:paraId="6126B9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1A558F"/>
          </w:tcPr>
          <w:p w14:paraId="0BE6D9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合作模块</w:t>
            </w:r>
          </w:p>
        </w:tc>
        <w:tc>
          <w:tcPr>
            <w:tcW w:w="3685" w:type="dxa"/>
            <w:shd w:val="clear" w:color="auto" w:fill="1A558F"/>
          </w:tcPr>
          <w:p w14:paraId="520371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合作内容</w:t>
            </w:r>
          </w:p>
        </w:tc>
        <w:tc>
          <w:tcPr>
            <w:tcW w:w="3685" w:type="dxa"/>
            <w:shd w:val="clear" w:color="auto" w:fill="1A558F"/>
          </w:tcPr>
          <w:p w14:paraId="4AE4D6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验证结果</w:t>
            </w:r>
          </w:p>
        </w:tc>
      </w:tr>
      <w:tr w14:paraId="7DEA10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BB285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AI 投研问答</w:t>
            </w:r>
          </w:p>
        </w:tc>
        <w:tc>
          <w:tcPr>
            <w:tcW w:w="3685" w:type="dxa"/>
          </w:tcPr>
          <w:p w14:paraId="40A41E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自然语言财报/公告解读</w:t>
            </w:r>
          </w:p>
        </w:tc>
        <w:tc>
          <w:tcPr>
            <w:tcW w:w="3685" w:type="dxa"/>
          </w:tcPr>
          <w:p w14:paraId="3AEE78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中文金融理解准确率 80%+</w:t>
            </w:r>
          </w:p>
        </w:tc>
      </w:tr>
      <w:tr w14:paraId="42F231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030328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量化策略回测</w:t>
            </w:r>
          </w:p>
        </w:tc>
        <w:tc>
          <w:tcPr>
            <w:tcW w:w="3685" w:type="dxa"/>
          </w:tcPr>
          <w:p w14:paraId="3A9582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HS300 多因子 11.4 年回测</w:t>
            </w:r>
          </w:p>
        </w:tc>
        <w:tc>
          <w:tcPr>
            <w:tcW w:w="3685" w:type="dxa"/>
          </w:tcPr>
          <w:p w14:paraId="7E1C9E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年化 8.56%, 夏普 0.63</w:t>
            </w:r>
          </w:p>
        </w:tc>
      </w:tr>
      <w:tr w14:paraId="65E771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93B92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SHAP 解读</w:t>
            </w:r>
          </w:p>
        </w:tc>
        <w:tc>
          <w:tcPr>
            <w:tcW w:w="3685" w:type="dxa"/>
          </w:tcPr>
          <w:p w14:paraId="01802E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17 因子决策归因</w:t>
            </w:r>
          </w:p>
        </w:tc>
        <w:tc>
          <w:tcPr>
            <w:tcW w:w="3685" w:type="dxa"/>
          </w:tcPr>
          <w:p w14:paraId="11BF2F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满足算法备案可解释性要求</w:t>
            </w:r>
          </w:p>
        </w:tc>
      </w:tr>
      <w:tr w14:paraId="3248F1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1D3404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智能选股</w:t>
            </w:r>
          </w:p>
        </w:tc>
        <w:tc>
          <w:tcPr>
            <w:tcW w:w="3685" w:type="dxa"/>
          </w:tcPr>
          <w:p w14:paraId="0093FA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17 因子 Top10 推荐</w:t>
            </w:r>
          </w:p>
        </w:tc>
        <w:tc>
          <w:tcPr>
            <w:tcW w:w="3685" w:type="dxa"/>
          </w:tcPr>
          <w:p w14:paraId="109FA8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投研效率提升 65% (内部测算)</w:t>
            </w:r>
          </w:p>
        </w:tc>
      </w:tr>
      <w:tr w14:paraId="3528F4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13DC4B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客户画像研究</w:t>
            </w:r>
          </w:p>
        </w:tc>
        <w:tc>
          <w:tcPr>
            <w:tcW w:w="3685" w:type="dxa"/>
          </w:tcPr>
          <w:p w14:paraId="119A26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9 类机构客户深度访谈</w:t>
            </w:r>
          </w:p>
        </w:tc>
        <w:tc>
          <w:tcPr>
            <w:tcW w:w="3685" w:type="dxa"/>
          </w:tcPr>
          <w:p w14:paraId="282CB3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形成 5 模块合作方案</w:t>
            </w:r>
          </w:p>
        </w:tc>
      </w:tr>
    </w:tbl>
    <w:p w14:paraId="04981E99">
      <w:pPr>
        <w:spacing w:before="240"/>
      </w:pPr>
      <w:r>
        <w:rPr>
          <w:rFonts w:ascii="微软雅黑" w:hAnsi="微软雅黑" w:eastAsia="微软雅黑"/>
          <w:b/>
          <w:i w:val="0"/>
          <w:color w:val="0A1F44"/>
          <w:sz w:val="24"/>
        </w:rPr>
        <w:t>关键数字总结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1701"/>
        <w:gridCol w:w="4535"/>
      </w:tblGrid>
      <w:tr w14:paraId="0957E9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shd w:val="clear" w:color="auto" w:fill="1A558F"/>
          </w:tcPr>
          <w:p w14:paraId="4CE3DF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w="1701" w:type="dxa"/>
            <w:shd w:val="clear" w:color="auto" w:fill="1A558F"/>
          </w:tcPr>
          <w:p w14:paraId="452461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数值</w:t>
            </w:r>
          </w:p>
        </w:tc>
        <w:tc>
          <w:tcPr>
            <w:tcW w:w="4535" w:type="dxa"/>
            <w:shd w:val="clear" w:color="auto" w:fill="1A558F"/>
          </w:tcPr>
          <w:p w14:paraId="0499CB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 w14:paraId="578A89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5BBAE7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HS300 多因子年化</w:t>
            </w:r>
          </w:p>
        </w:tc>
        <w:tc>
          <w:tcPr>
            <w:tcW w:w="1701" w:type="dxa"/>
          </w:tcPr>
          <w:p w14:paraId="788689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8.56%</w:t>
            </w:r>
          </w:p>
        </w:tc>
        <w:tc>
          <w:tcPr>
            <w:tcW w:w="4535" w:type="dxa"/>
          </w:tcPr>
          <w:p w14:paraId="465A3C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T35 修正后真实数据</w:t>
            </w:r>
          </w:p>
        </w:tc>
      </w:tr>
      <w:tr w14:paraId="0181E5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00BDF8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超额收益</w:t>
            </w:r>
          </w:p>
        </w:tc>
        <w:tc>
          <w:tcPr>
            <w:tcW w:w="1701" w:type="dxa"/>
          </w:tcPr>
          <w:p w14:paraId="020EF1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+3.10%</w:t>
            </w:r>
          </w:p>
        </w:tc>
        <w:tc>
          <w:tcPr>
            <w:tcW w:w="4535" w:type="dxa"/>
          </w:tcPr>
          <w:p w14:paraId="1AF917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vs 买入持有 5.46%</w:t>
            </w:r>
          </w:p>
        </w:tc>
      </w:tr>
      <w:tr w14:paraId="6CF3AD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526857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夏普比率</w:t>
            </w:r>
          </w:p>
        </w:tc>
        <w:tc>
          <w:tcPr>
            <w:tcW w:w="1701" w:type="dxa"/>
          </w:tcPr>
          <w:p w14:paraId="5525E8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0.63</w:t>
            </w:r>
          </w:p>
        </w:tc>
        <w:tc>
          <w:tcPr>
            <w:tcW w:w="4535" w:type="dxa"/>
          </w:tcPr>
          <w:p w14:paraId="366A5E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风险调整后收益</w:t>
            </w:r>
          </w:p>
        </w:tc>
      </w:tr>
      <w:tr w14:paraId="53848A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1B9A84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中文金融理解</w:t>
            </w:r>
          </w:p>
        </w:tc>
        <w:tc>
          <w:tcPr>
            <w:tcW w:w="1701" w:type="dxa"/>
          </w:tcPr>
          <w:p w14:paraId="5F21A9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80%+</w:t>
            </w:r>
          </w:p>
        </w:tc>
        <w:tc>
          <w:tcPr>
            <w:tcW w:w="4535" w:type="dxa"/>
          </w:tcPr>
          <w:p w14:paraId="4AED8A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AI 投研问答准确率</w:t>
            </w:r>
          </w:p>
        </w:tc>
      </w:tr>
      <w:tr w14:paraId="29650E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75FBE7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投研效率提升</w:t>
            </w:r>
          </w:p>
        </w:tc>
        <w:tc>
          <w:tcPr>
            <w:tcW w:w="1701" w:type="dxa"/>
          </w:tcPr>
          <w:p w14:paraId="261F1F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65%</w:t>
            </w:r>
          </w:p>
        </w:tc>
        <w:tc>
          <w:tcPr>
            <w:tcW w:w="4535" w:type="dxa"/>
          </w:tcPr>
          <w:p w14:paraId="7C851C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永字资管内部测算</w:t>
            </w:r>
          </w:p>
        </w:tc>
      </w:tr>
      <w:tr w14:paraId="51EF4F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328554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LTV / CAC</w:t>
            </w:r>
          </w:p>
        </w:tc>
        <w:tc>
          <w:tcPr>
            <w:tcW w:w="1701" w:type="dxa"/>
          </w:tcPr>
          <w:p w14:paraId="7EF102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82.2</w:t>
            </w:r>
          </w:p>
        </w:tc>
        <w:tc>
          <w:tcPr>
            <w:tcW w:w="4535" w:type="dxa"/>
          </w:tcPr>
          <w:p w14:paraId="210F79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客户终身价值 / 获客成本</w:t>
            </w:r>
          </w:p>
        </w:tc>
      </w:tr>
      <w:tr w14:paraId="138D94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2C016C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NRR (净留存)</w:t>
            </w:r>
          </w:p>
        </w:tc>
        <w:tc>
          <w:tcPr>
            <w:tcW w:w="1701" w:type="dxa"/>
          </w:tcPr>
          <w:p w14:paraId="4109CF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140%</w:t>
            </w:r>
          </w:p>
        </w:tc>
        <w:tc>
          <w:tcPr>
            <w:tcW w:w="4535" w:type="dxa"/>
          </w:tcPr>
          <w:p w14:paraId="50B46F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净收入留存率</w:t>
            </w:r>
          </w:p>
        </w:tc>
      </w:tr>
      <w:tr w14:paraId="102F06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1D4E33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服务客户类型</w:t>
            </w:r>
          </w:p>
        </w:tc>
        <w:tc>
          <w:tcPr>
            <w:tcW w:w="1701" w:type="dxa"/>
          </w:tcPr>
          <w:p w14:paraId="447739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9 类</w:t>
            </w:r>
          </w:p>
        </w:tc>
        <w:tc>
          <w:tcPr>
            <w:tcW w:w="4535" w:type="dxa"/>
          </w:tcPr>
          <w:p w14:paraId="303226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中小私募/银行/保险/券商/信托等</w:t>
            </w:r>
          </w:p>
        </w:tc>
      </w:tr>
    </w:tbl>
    <w:p w14:paraId="68CE7092"/>
    <w:p w14:paraId="6AC1C9AF">
      <w:pPr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— 解决方案描述结束 —</w:t>
      </w:r>
    </w:p>
    <w:sect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F31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2980</Words>
  <Characters>3960</Characters>
  <Lines>0</Lines>
  <Paragraphs>0</Paragraphs>
  <TotalTime>8</TotalTime>
  <ScaleCrop>false</ScaleCrop>
  <LinksUpToDate>false</LinksUpToDate>
  <CharactersWithSpaces>4484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冯亦根</cp:lastModifiedBy>
  <dcterms:modified xsi:type="dcterms:W3CDTF">2026-07-08T15:24:14Z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eyJoZGlkIjoiMzZjNzk1Yzg1ZTVkMzBlMDRlMTUwNjMwYWM1OGZhZmMiLCJ1c2VySWQiOiIxNjkzMDY3MTMwIn0=</vt:lpwstr>
  </property>
  <property fmtid="{D5CDD505-2E9C-101B-9397-08002B2CF9AE}" pid="3" name="KSOProductBuildVer">
    <vt:lpwstr>2052-12.1.0.26375</vt:lpwstr>
  </property>
  <property fmtid="{D5CDD505-2E9C-101B-9397-08002B2CF9AE}" pid="4" name="ICV">
    <vt:lpwstr>74FE1A588D5A4F8FBBDC9847D4706332_12</vt:lpwstr>
  </property>
</Properties>
</file>