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i w:val="0"/>
          <w:color w:val="0A0E27"/>
          <w:sz w:val="44"/>
        </w:rPr>
        <w:t>QuantInsight Pro 风险预案 V2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00D4FF"/>
          <w:sz w:val="24"/>
        </w:rPr>
        <w:t>AFAC2026 · 路演风险与应急响应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18"/>
        </w:rPr>
        <w:t>AFAC2026 · 初创组 · 2026-07-08</w:t>
      </w:r>
    </w:p>
    <w:p/>
    <w:p>
      <w:pPr>
        <w:pStyle w:val="Heading1"/>
      </w:pPr>
      <w:r>
        <w:rPr>
          <w:rFonts w:ascii="微软雅黑" w:hAnsi="微软雅黑" w:eastAsia="微软雅黑"/>
          <w:b/>
          <w:i w:val="0"/>
          <w:color w:val="0A0E27"/>
          <w:sz w:val="30"/>
        </w:rPr>
        <w:t>QuantInsight Pro 5大风险+应急预案 V2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00D4FF"/>
          <w:sz w:val="28"/>
        </w:rPr>
        <w:t>—— AFAC2026 金融智能创新大赛 风险管理核心材料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文档编号</w:t>
      </w:r>
      <w:r>
        <w:rPr>
          <w:rFonts w:ascii="微软雅黑" w:hAnsi="微软雅黑" w:eastAsia="微软雅黑"/>
          <w:b w:val="0"/>
          <w:i w:val="0"/>
          <w:sz w:val="21"/>
        </w:rPr>
        <w:t>: QIP-RISK-2026-001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版本</w:t>
      </w:r>
      <w:r>
        <w:rPr>
          <w:rFonts w:ascii="微软雅黑" w:hAnsi="微软雅黑" w:eastAsia="微软雅黑"/>
          <w:b w:val="0"/>
          <w:i w:val="0"/>
          <w:sz w:val="21"/>
        </w:rPr>
        <w:t>: V2.0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编制日期</w:t>
      </w:r>
      <w:r>
        <w:rPr>
          <w:rFonts w:ascii="微软雅黑" w:hAnsi="微软雅黑" w:eastAsia="微软雅黑"/>
          <w:b w:val="0"/>
          <w:i w:val="0"/>
          <w:sz w:val="21"/>
        </w:rPr>
        <w:t>: 2026年6月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编制原则</w:t>
      </w:r>
      <w:r>
        <w:rPr>
          <w:rFonts w:ascii="微软雅黑" w:hAnsi="微软雅黑" w:eastAsia="微软雅黑"/>
          <w:b w:val="0"/>
          <w:i w:val="0"/>
          <w:sz w:val="21"/>
        </w:rPr>
        <w:t>: 5大核心风险 + 完整应急预案 + 路演即用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00D4FF"/>
          <w:sz w:val="28"/>
        </w:rPr>
        <w:t>一、风险管理总览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1.1 5大风险矩阵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11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511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风险类型</w:t>
            </w:r>
          </w:p>
        </w:tc>
        <w:tc>
          <w:tcPr>
            <w:tcW w:type="dxa" w:w="1511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概率</w:t>
            </w:r>
          </w:p>
        </w:tc>
        <w:tc>
          <w:tcPr>
            <w:tcW w:type="dxa" w:w="1511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影响</w:t>
            </w:r>
          </w:p>
        </w:tc>
        <w:tc>
          <w:tcPr>
            <w:tcW w:type="dxa" w:w="1511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风险等级</w:t>
            </w:r>
          </w:p>
        </w:tc>
        <w:tc>
          <w:tcPr>
            <w:tcW w:type="dxa" w:w="1511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511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1</w:t>
            </w:r>
          </w:p>
        </w:tc>
        <w:tc>
          <w:tcPr>
            <w:tcW w:type="dxa" w:w="151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数据风险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（akshare不稳定）</w:t>
            </w:r>
          </w:p>
        </w:tc>
        <w:tc>
          <w:tcPr>
            <w:tcW w:type="dxa" w:w="151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中</w:t>
            </w:r>
          </w:p>
        </w:tc>
        <w:tc>
          <w:tcPr>
            <w:tcW w:type="dxa" w:w="151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高</w:t>
            </w:r>
          </w:p>
        </w:tc>
        <w:tc>
          <w:tcPr>
            <w:tcW w:type="dxa" w:w="151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★★★★</w:t>
            </w:r>
          </w:p>
        </w:tc>
        <w:tc>
          <w:tcPr>
            <w:tcW w:type="dxa" w:w="151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已预案</w:t>
            </w:r>
          </w:p>
        </w:tc>
      </w:tr>
      <w:tr>
        <w:tc>
          <w:tcPr>
            <w:tcW w:type="dxa" w:w="1511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2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合规风险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（AI监管政策）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低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高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已预案</w:t>
            </w:r>
          </w:p>
        </w:tc>
      </w:tr>
      <w:tr>
        <w:tc>
          <w:tcPr>
            <w:tcW w:type="dxa" w:w="1511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3</w:t>
            </w:r>
          </w:p>
        </w:tc>
        <w:tc>
          <w:tcPr>
            <w:tcW w:type="dxa" w:w="151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技术风险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（系统故障）</w:t>
            </w:r>
          </w:p>
        </w:tc>
        <w:tc>
          <w:tcPr>
            <w:tcW w:type="dxa" w:w="151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低</w:t>
            </w:r>
          </w:p>
        </w:tc>
        <w:tc>
          <w:tcPr>
            <w:tcW w:type="dxa" w:w="151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中</w:t>
            </w:r>
          </w:p>
        </w:tc>
        <w:tc>
          <w:tcPr>
            <w:tcW w:type="dxa" w:w="151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151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已预案</w:t>
            </w:r>
          </w:p>
        </w:tc>
      </w:tr>
      <w:tr>
        <w:tc>
          <w:tcPr>
            <w:tcW w:type="dxa" w:w="1511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4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市场风险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（竞品涌入）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中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中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已预案</w:t>
            </w:r>
          </w:p>
        </w:tc>
      </w:tr>
      <w:tr>
        <w:tc>
          <w:tcPr>
            <w:tcW w:type="dxa" w:w="1511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5</w:t>
            </w:r>
          </w:p>
        </w:tc>
        <w:tc>
          <w:tcPr>
            <w:tcW w:type="dxa" w:w="151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资金风险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（回款延迟）</w:t>
            </w:r>
          </w:p>
        </w:tc>
        <w:tc>
          <w:tcPr>
            <w:tcW w:type="dxa" w:w="151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低</w:t>
            </w:r>
          </w:p>
        </w:tc>
        <w:tc>
          <w:tcPr>
            <w:tcW w:type="dxa" w:w="151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高</w:t>
            </w:r>
          </w:p>
        </w:tc>
        <w:tc>
          <w:tcPr>
            <w:tcW w:type="dxa" w:w="151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★★</w:t>
            </w:r>
          </w:p>
        </w:tc>
        <w:tc>
          <w:tcPr>
            <w:tcW w:type="dxa" w:w="151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已预案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1.2 风险应急预案使用SOP</w:t>
      </w:r>
    </w:p>
    <w:p>
      <w:pPr>
        <w:spacing w:before="80"/>
      </w:pPr>
      <w:r>
        <w:rPr>
          <w:rFonts w:ascii="微软雅黑" w:hAnsi="微软雅黑" w:eastAsia="微软雅黑"/>
          <w:b/>
          <w:i w:val="0"/>
          <w:color w:val="666666"/>
          <w:sz w:val="18"/>
        </w:rPr>
        <w:t>代码块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风险触发 → 5分钟内启动应急小组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 xml:space="preserve">        → 30分钟内启动应急预案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 xml:space="preserve">        → 2小时内向CSO/CEO汇报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 xml:space="preserve">        → 24小时内出具完整方案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 xml:space="preserve">        → 72小时内修复/补救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 xml:space="preserve">        → 1周内复盘+优化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1.3 应急小组构成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角色</w:t>
            </w:r>
          </w:p>
        </w:tc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责任人</w:t>
            </w:r>
          </w:p>
        </w:tc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联系电话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应急总指挥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CEO冯亦根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138-XXXX-XXXX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技术应急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CTO王宇寒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138-XXXX-XXXX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商务应急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量化梁理智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138-XXXX-XXXX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公关应急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产品官馨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138-XXXX-XXXX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财务应急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CFO（拟）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138-XXXX-XXXX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i w:val="0"/>
          <w:color w:val="00D4FF"/>
          <w:sz w:val="28"/>
        </w:rPr>
        <w:t>二、风险#1：数据风险（akshare不稳定）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2.1 风险描述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533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风险名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akshare开源数据接口不稳定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触发条件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akshare接口更新/限流/宕机/数据格式变化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发生概率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中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（30%月发生率）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影响范围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选股/回测/报告生成全部功能降级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严重等级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高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（直接业务影响）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首次预警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2025-09 akshare v1.12.0 接口变更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2.2 历史事件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时间</w:t>
            </w:r>
          </w:p>
        </w:tc>
        <w:tc>
          <w:tcPr>
            <w:tcW w:type="dxa" w:w="2266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事件</w:t>
            </w:r>
          </w:p>
        </w:tc>
        <w:tc>
          <w:tcPr>
            <w:tcW w:type="dxa" w:w="2266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影响</w:t>
            </w:r>
          </w:p>
        </w:tc>
        <w:tc>
          <w:tcPr>
            <w:tcW w:type="dxa" w:w="2266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修复时长</w:t>
            </w:r>
          </w:p>
        </w:tc>
      </w:tr>
      <w:tr>
        <w:tc>
          <w:tcPr>
            <w:tcW w:type="dxa" w:w="2266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2025-09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akshare v1.12接口变更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1个因子失效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4小时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2025-11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akshare限流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报告延迟2小时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2小时</w:t>
            </w:r>
          </w:p>
        </w:tc>
      </w:tr>
      <w:tr>
        <w:tc>
          <w:tcPr>
            <w:tcW w:type="dxa" w:w="2266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2026-01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akshare宕机3小时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错过开盘数据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1小时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2026-04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数据格式变化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行业涨跌异常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6小时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2.3 3层fallback方案</w:t>
      </w:r>
    </w:p>
    <w:p>
      <w:pPr>
        <w:spacing w:before="80"/>
      </w:pPr>
      <w:r>
        <w:rPr>
          <w:rFonts w:ascii="微软雅黑" w:hAnsi="微软雅黑" w:eastAsia="微软雅黑"/>
          <w:b/>
          <w:i w:val="0"/>
          <w:color w:val="666666"/>
          <w:sz w:val="18"/>
        </w:rPr>
        <w:t>代码块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第一层：akshare（主源）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 xml:space="preserve">  ↓ 失败/超时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第二层：东方财富/雪球（辅源）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 xml:space="preserve">  ↓ 失败/超时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第三层：自建示例数据（兜底）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 xml:space="preserve">  ↓ 失败/超时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人工客服+微信群通知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2.4 详细应急预案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4"/>
        </w:rPr>
        <w:t>预案A：akshare单接口失败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触发</w:t>
      </w:r>
      <w:r>
        <w:rPr>
          <w:rFonts w:ascii="微软雅黑" w:hAnsi="微软雅黑" w:eastAsia="微软雅黑"/>
          <w:b w:val="0"/>
          <w:i w:val="0"/>
          <w:sz w:val="21"/>
        </w:rPr>
        <w:t>：单个数据接口异常（如：北向资金）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影响范围</w:t>
      </w:r>
      <w:r>
        <w:rPr>
          <w:rFonts w:ascii="微软雅黑" w:hAnsi="微软雅黑" w:eastAsia="微软雅黑"/>
          <w:b w:val="0"/>
          <w:i w:val="0"/>
          <w:sz w:val="21"/>
        </w:rPr>
        <w:t>：1个模块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响应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0-5min</w:t>
      </w:r>
      <w:r>
        <w:rPr>
          <w:rFonts w:ascii="微软雅黑" w:hAnsi="微软雅黑" w:eastAsia="微软雅黑"/>
          <w:b w:val="0"/>
          <w:i w:val="0"/>
          <w:sz w:val="21"/>
        </w:rPr>
        <w:t>：自动切换到东方财富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5-15min</w:t>
      </w:r>
      <w:r>
        <w:rPr>
          <w:rFonts w:ascii="微软雅黑" w:hAnsi="微软雅黑" w:eastAsia="微软雅黑"/>
          <w:b w:val="0"/>
          <w:i w:val="0"/>
          <w:sz w:val="21"/>
        </w:rPr>
        <w:t>：监控备用源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15-30min</w:t>
      </w:r>
      <w:r>
        <w:rPr>
          <w:rFonts w:ascii="微软雅黑" w:hAnsi="微软雅黑" w:eastAsia="微软雅黑"/>
          <w:b w:val="0"/>
          <w:i w:val="0"/>
          <w:sz w:val="21"/>
        </w:rPr>
        <w:t>：在客户群通知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30-60min</w:t>
      </w:r>
      <w:r>
        <w:rPr>
          <w:rFonts w:ascii="微软雅黑" w:hAnsi="微软雅黑" w:eastAsia="微软雅黑"/>
          <w:b w:val="0"/>
          <w:i w:val="0"/>
          <w:sz w:val="21"/>
        </w:rPr>
        <w:t>：修复原接口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代码</w:t>
      </w:r>
      <w:r>
        <w:rPr>
          <w:rFonts w:ascii="微软雅黑" w:hAnsi="微软雅黑" w:eastAsia="微软雅黑"/>
          <w:b w:val="0"/>
          <w:i w:val="0"/>
          <w:sz w:val="21"/>
        </w:rPr>
        <w:t>（已实现）：</w:t>
      </w:r>
    </w:p>
    <w:p>
      <w:pPr>
        <w:spacing w:before="80"/>
      </w:pPr>
      <w:r>
        <w:rPr>
          <w:rFonts w:ascii="微软雅黑" w:hAnsi="微软雅黑" w:eastAsia="微软雅黑"/>
          <w:b/>
          <w:i w:val="0"/>
          <w:color w:val="666666"/>
          <w:sz w:val="18"/>
        </w:rPr>
        <w:t>代码块 (python)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@retry_decorator(max_retries=3, backoff=2)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@timeout_decorator(timeout=10)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def fetch_northbound_data():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 xml:space="preserve">    try: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 xml:space="preserve">        # 主源：akshare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 xml:space="preserve">        data = ak.stock_hsgt_north_net_flow_in_em()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 xml:space="preserve">        if data is None or len(data) == 0: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 xml:space="preserve">            raise DataError("akshare返回空")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 xml:space="preserve">        return data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 xml:space="preserve">    except Exception as e: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 xml:space="preserve">        logger.warning(f"akshare失败: {e}, 切换到东方财富")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 xml:space="preserve">        # 辅源：东方财富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 xml:space="preserve">        return fetch_eastmoney_northbound()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4"/>
        </w:rPr>
        <w:t>预案B：akshare整体宕机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触发</w:t>
      </w:r>
      <w:r>
        <w:rPr>
          <w:rFonts w:ascii="微软雅黑" w:hAnsi="微软雅黑" w:eastAsia="微软雅黑"/>
          <w:b w:val="0"/>
          <w:i w:val="0"/>
          <w:sz w:val="21"/>
        </w:rPr>
        <w:t>：akshare官方Github release失败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影响范围</w:t>
      </w:r>
      <w:r>
        <w:rPr>
          <w:rFonts w:ascii="微软雅黑" w:hAnsi="微软雅黑" w:eastAsia="微软雅黑"/>
          <w:b w:val="0"/>
          <w:i w:val="0"/>
          <w:sz w:val="21"/>
        </w:rPr>
        <w:t>：全部数据模块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响应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0-15min</w:t>
      </w:r>
      <w:r>
        <w:rPr>
          <w:rFonts w:ascii="微软雅黑" w:hAnsi="微软雅黑" w:eastAsia="微软雅黑"/>
          <w:b w:val="0"/>
          <w:i w:val="0"/>
          <w:sz w:val="21"/>
        </w:rPr>
        <w:t>：启动全量fallback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15-30min</w:t>
      </w:r>
      <w:r>
        <w:rPr>
          <w:rFonts w:ascii="微软雅黑" w:hAnsi="微软雅黑" w:eastAsia="微软雅黑"/>
          <w:b w:val="0"/>
          <w:i w:val="0"/>
          <w:sz w:val="21"/>
        </w:rPr>
        <w:t>：通知所有客户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30-120min</w:t>
      </w:r>
      <w:r>
        <w:rPr>
          <w:rFonts w:ascii="微软雅黑" w:hAnsi="微软雅黑" w:eastAsia="微软雅黑"/>
          <w:b w:val="0"/>
          <w:i w:val="0"/>
          <w:sz w:val="21"/>
        </w:rPr>
        <w:t>：使用示例数据+人工数据补录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2-24h</w:t>
      </w:r>
      <w:r>
        <w:rPr>
          <w:rFonts w:ascii="微软雅黑" w:hAnsi="微软雅黑" w:eastAsia="微软雅黑"/>
          <w:b w:val="0"/>
          <w:i w:val="0"/>
          <w:sz w:val="21"/>
        </w:rPr>
        <w:t>：等待akshare恢复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24h+</w:t>
      </w:r>
      <w:r>
        <w:rPr>
          <w:rFonts w:ascii="微软雅黑" w:hAnsi="微软雅黑" w:eastAsia="微软雅黑"/>
          <w:b w:val="0"/>
          <w:i w:val="0"/>
          <w:sz w:val="21"/>
        </w:rPr>
        <w:t>：考虑切换Tushare Pro（付费）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应急通知模板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before="80"/>
      </w:pPr>
      <w:r>
        <w:rPr>
          <w:rFonts w:ascii="微软雅黑" w:hAnsi="微软雅黑" w:eastAsia="微软雅黑"/>
          <w:b/>
          <w:i w:val="0"/>
          <w:color w:val="666666"/>
          <w:sz w:val="18"/>
        </w:rPr>
        <w:t>代码块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【QuantInsight Pro 紧急通知】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尊敬的客户，您好！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akshare数据源目前不稳定，我们已自动切换到备用源+示例数据。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预计影响时长：1-2小时。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补偿方案：本月费用减免10%。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如有疑问，请联系CSM。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4"/>
        </w:rPr>
        <w:t>预案C：数据质量问题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触发</w:t>
      </w:r>
      <w:r>
        <w:rPr>
          <w:rFonts w:ascii="微软雅黑" w:hAnsi="微软雅黑" w:eastAsia="微软雅黑"/>
          <w:b w:val="0"/>
          <w:i w:val="0"/>
          <w:sz w:val="21"/>
        </w:rPr>
        <w:t>：akshare数据存在明显错误（如：北向资金为负数）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影响范围</w:t>
      </w:r>
      <w:r>
        <w:rPr>
          <w:rFonts w:ascii="微软雅黑" w:hAnsi="微软雅黑" w:eastAsia="微软雅黑"/>
          <w:b w:val="0"/>
          <w:i w:val="0"/>
          <w:sz w:val="21"/>
        </w:rPr>
        <w:t>：AI分析结果失真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响应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0-15min</w:t>
      </w:r>
      <w:r>
        <w:rPr>
          <w:rFonts w:ascii="微软雅黑" w:hAnsi="微软雅黑" w:eastAsia="微软雅黑"/>
          <w:b w:val="0"/>
          <w:i w:val="0"/>
          <w:sz w:val="21"/>
        </w:rPr>
        <w:t>：自动校验+异常告警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15-60min</w:t>
      </w:r>
      <w:r>
        <w:rPr>
          <w:rFonts w:ascii="微软雅黑" w:hAnsi="微软雅黑" w:eastAsia="微软雅黑"/>
          <w:b w:val="0"/>
          <w:i w:val="0"/>
          <w:sz w:val="21"/>
        </w:rPr>
        <w:t>：人工核实+数据修正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60-120min</w:t>
      </w:r>
      <w:r>
        <w:rPr>
          <w:rFonts w:ascii="微软雅黑" w:hAnsi="微软雅黑" w:eastAsia="微软雅黑"/>
          <w:b w:val="0"/>
          <w:i w:val="0"/>
          <w:sz w:val="21"/>
        </w:rPr>
        <w:t>：客户沟通+重新分析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2.5 长期解决方案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方案</w:t>
            </w:r>
          </w:p>
        </w:tc>
        <w:tc>
          <w:tcPr>
            <w:tcW w:type="dxa" w:w="2266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时长</w:t>
            </w:r>
          </w:p>
        </w:tc>
        <w:tc>
          <w:tcPr>
            <w:tcW w:type="dxa" w:w="2266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投入</w:t>
            </w:r>
          </w:p>
        </w:tc>
        <w:tc>
          <w:tcPr>
            <w:tcW w:type="dxa" w:w="2266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收益</w:t>
            </w:r>
          </w:p>
        </w:tc>
      </w:tr>
      <w:tr>
        <w:tc>
          <w:tcPr>
            <w:tcW w:type="dxa" w:w="2266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Tushare Pro付费版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1周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¥50K/年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数据更稳定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自建数据爬虫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1月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¥100K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自主可控</w:t>
            </w:r>
          </w:p>
        </w:tc>
      </w:tr>
      <w:tr>
        <w:tc>
          <w:tcPr>
            <w:tcW w:type="dxa" w:w="2266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商业数据API（Wind Mini）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2周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¥30K/年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权威数据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推荐方案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2周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¥80K/年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稳定+权威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2.6 关键监控指标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阈值</w:t>
            </w:r>
          </w:p>
        </w:tc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告警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akshare成功率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&lt;95%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黄色告警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akshare成功率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&lt;80%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红色告警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数据延迟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&gt;5min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黄色告警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数据缺失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&gt;10%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红色告警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i w:val="0"/>
          <w:color w:val="00D4FF"/>
          <w:sz w:val="28"/>
        </w:rPr>
        <w:t>三、风险#2：合规风险（AI监管政策）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3.1 风险描述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533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风险名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监管政策对AI选股/AI投顾的限制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触发条件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证监会新规/AI新规/算法备案要求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发生概率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低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（15%年发生率）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影响范围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全部客户/全部功能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严重等级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高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（可能业务停摆）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关键政策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《证券基金经营机构信息技术管理办法》&lt;br&gt;《关于加强证券期货人工智能应用的指导意见》&lt;br&gt;《生成式人工智能服务管理暂行办法》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3.2 已完成的合规动作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动作</w:t>
            </w:r>
          </w:p>
        </w:tc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完成时间</w:t>
            </w:r>
          </w:p>
        </w:tc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证监会算法备案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2026-03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✅ 已完成（编号2026-XXXX）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客户NDA签署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持续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✅ 5份已签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隐私政策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2025-12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✅ 已公示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数据使用合规审查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2026-01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✅ 通过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AI伦理委员会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2026-02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✅ 已成立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3.3 5种合规风险情景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4"/>
        </w:rPr>
        <w:t>情景A：算法备案要求变化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触发</w:t>
      </w:r>
      <w:r>
        <w:rPr>
          <w:rFonts w:ascii="微软雅黑" w:hAnsi="微软雅黑" w:eastAsia="微软雅黑"/>
          <w:b w:val="0"/>
          <w:i w:val="0"/>
          <w:sz w:val="21"/>
        </w:rPr>
        <w:t>：证监会更新算法备案要求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影响</w:t>
      </w:r>
      <w:r>
        <w:rPr>
          <w:rFonts w:ascii="微软雅黑" w:hAnsi="微软雅黑" w:eastAsia="微软雅黑"/>
          <w:b w:val="0"/>
          <w:i w:val="0"/>
          <w:sz w:val="21"/>
        </w:rPr>
        <w:t>：需重新备案（1-3月）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预案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0-30天</w:t>
      </w:r>
      <w:r>
        <w:rPr>
          <w:rFonts w:ascii="微软雅黑" w:hAnsi="微软雅黑" w:eastAsia="微软雅黑"/>
          <w:b w:val="0"/>
          <w:i w:val="0"/>
          <w:sz w:val="21"/>
        </w:rPr>
        <w:t>：法务+技术联合评估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30-90天</w:t>
      </w:r>
      <w:r>
        <w:rPr>
          <w:rFonts w:ascii="微软雅黑" w:hAnsi="微软雅黑" w:eastAsia="微软雅黑"/>
          <w:b w:val="0"/>
          <w:i w:val="0"/>
          <w:sz w:val="21"/>
        </w:rPr>
        <w:t>：重新备案+客户沟通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90-180天</w:t>
      </w:r>
      <w:r>
        <w:rPr>
          <w:rFonts w:ascii="微软雅黑" w:hAnsi="微软雅黑" w:eastAsia="微软雅黑"/>
          <w:b w:val="0"/>
          <w:i w:val="0"/>
          <w:sz w:val="21"/>
        </w:rPr>
        <w:t>：获取新备案+正式运营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4"/>
        </w:rPr>
        <w:t>情景B：AI投顾资质要求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触发</w:t>
      </w:r>
      <w:r>
        <w:rPr>
          <w:rFonts w:ascii="微软雅黑" w:hAnsi="微软雅黑" w:eastAsia="微软雅黑"/>
          <w:b w:val="0"/>
          <w:i w:val="0"/>
          <w:sz w:val="21"/>
        </w:rPr>
        <w:t>：要求所有AI投顾需投顾牌照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影响</w:t>
      </w:r>
      <w:r>
        <w:rPr>
          <w:rFonts w:ascii="微软雅黑" w:hAnsi="微软雅黑" w:eastAsia="微软雅黑"/>
          <w:b w:val="0"/>
          <w:i w:val="0"/>
          <w:sz w:val="21"/>
        </w:rPr>
        <w:t>：无法直接服务C端个人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预案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方案1</w:t>
      </w:r>
      <w:r>
        <w:rPr>
          <w:rFonts w:ascii="微软雅黑" w:hAnsi="微软雅黑" w:eastAsia="微软雅黑"/>
          <w:b w:val="0"/>
          <w:i w:val="0"/>
          <w:sz w:val="21"/>
        </w:rPr>
        <w:t>：与持牌机构合作（华泰证券）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方案2</w:t>
      </w:r>
      <w:r>
        <w:rPr>
          <w:rFonts w:ascii="微软雅黑" w:hAnsi="微软雅黑" w:eastAsia="微软雅黑"/>
          <w:b w:val="0"/>
          <w:i w:val="0"/>
          <w:sz w:val="21"/>
        </w:rPr>
        <w:t>：申请投顾牌照（耗时1-2年）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方案3</w:t>
      </w:r>
      <w:r>
        <w:rPr>
          <w:rFonts w:ascii="微软雅黑" w:hAnsi="微软雅黑" w:eastAsia="微软雅黑"/>
          <w:b w:val="0"/>
          <w:i w:val="0"/>
          <w:sz w:val="21"/>
        </w:rPr>
        <w:t>：定位B2B SaaS（不直接服务C端）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4"/>
        </w:rPr>
        <w:t>情景C：算法可解释性强制要求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触发</w:t>
      </w:r>
      <w:r>
        <w:rPr>
          <w:rFonts w:ascii="微软雅黑" w:hAnsi="微软雅黑" w:eastAsia="微软雅黑"/>
          <w:b w:val="0"/>
          <w:i w:val="0"/>
          <w:sz w:val="21"/>
        </w:rPr>
        <w:t>：要求所有AI必须可解释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影响</w:t>
      </w:r>
      <w:r>
        <w:rPr>
          <w:rFonts w:ascii="微软雅黑" w:hAnsi="微软雅黑" w:eastAsia="微软雅黑"/>
          <w:b w:val="0"/>
          <w:i w:val="0"/>
          <w:sz w:val="21"/>
        </w:rPr>
        <w:t xml:space="preserve">：✅ </w:t>
      </w:r>
      <w:r>
        <w:rPr>
          <w:rFonts w:ascii="微软雅黑" w:hAnsi="微软雅黑" w:eastAsia="微软雅黑"/>
          <w:b/>
          <w:i w:val="0"/>
          <w:sz w:val="21"/>
        </w:rPr>
        <w:t>正面影响</w:t>
      </w:r>
      <w:r>
        <w:rPr>
          <w:rFonts w:ascii="微软雅黑" w:hAnsi="微软雅黑" w:eastAsia="微软雅黑"/>
          <w:b w:val="0"/>
          <w:i w:val="0"/>
          <w:sz w:val="21"/>
        </w:rPr>
        <w:t>——我们是唯一可解释的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预案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强化SHAP可视化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申请行业标准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抢占监管认可制高点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4"/>
        </w:rPr>
        <w:t>情景D：数据使用限制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触发</w:t>
      </w:r>
      <w:r>
        <w:rPr>
          <w:rFonts w:ascii="微软雅黑" w:hAnsi="微软雅黑" w:eastAsia="微软雅黑"/>
          <w:b w:val="0"/>
          <w:i w:val="0"/>
          <w:sz w:val="21"/>
        </w:rPr>
        <w:t>：akshare等开源数据被限制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影响</w:t>
      </w:r>
      <w:r>
        <w:rPr>
          <w:rFonts w:ascii="微软雅黑" w:hAnsi="微软雅黑" w:eastAsia="微软雅黑"/>
          <w:b w:val="0"/>
          <w:i w:val="0"/>
          <w:sz w:val="21"/>
        </w:rPr>
        <w:t>：数据源需替换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预案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切换Tushare Pro/商业API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自建数据爬虫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与券商合作获取合规数据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4"/>
        </w:rPr>
        <w:t>情景E：客户隐私/数据保护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触发</w:t>
      </w:r>
      <w:r>
        <w:rPr>
          <w:rFonts w:ascii="微软雅黑" w:hAnsi="微软雅黑" w:eastAsia="微软雅黑"/>
          <w:b w:val="0"/>
          <w:i w:val="0"/>
          <w:sz w:val="21"/>
        </w:rPr>
        <w:t>：客户数据泄露/隐私投诉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影响</w:t>
      </w:r>
      <w:r>
        <w:rPr>
          <w:rFonts w:ascii="微软雅黑" w:hAnsi="微软雅黑" w:eastAsia="微软雅黑"/>
          <w:b w:val="0"/>
          <w:i w:val="0"/>
          <w:sz w:val="21"/>
        </w:rPr>
        <w:t>：声誉风险+监管处罚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预案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数据加密+权限控制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定期安全审计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客户数据隔离（每个客户独立数据库）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3.4 合规应急小组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角色</w:t>
            </w:r>
          </w:p>
        </w:tc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责任人</w:t>
            </w:r>
          </w:p>
        </w:tc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资质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首席合规官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拟聘（1名）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前证监会法律部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外部法律顾问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中伦律所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金融科技专长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数据保护官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CTO王宇寒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ISO27001认证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客户沟通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量化梁理智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10年金融经验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3.5 长期合规建设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建设项</w:t>
            </w:r>
          </w:p>
        </w:tc>
        <w:tc>
          <w:tcPr>
            <w:tcW w:type="dxa" w:w="2266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投入</w:t>
            </w:r>
          </w:p>
        </w:tc>
        <w:tc>
          <w:tcPr>
            <w:tcW w:type="dxa" w:w="2266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时长</w:t>
            </w:r>
          </w:p>
        </w:tc>
        <w:tc>
          <w:tcPr>
            <w:tcW w:type="dxa" w:w="2266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收益</w:t>
            </w:r>
          </w:p>
        </w:tc>
      </w:tr>
      <w:tr>
        <w:tc>
          <w:tcPr>
            <w:tcW w:type="dxa" w:w="2266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ISO 27001认证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¥100K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6月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国际认可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SOC 2 Type II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¥200K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12月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海外客户</w:t>
            </w:r>
          </w:p>
        </w:tc>
      </w:tr>
      <w:tr>
        <w:tc>
          <w:tcPr>
            <w:tcW w:type="dxa" w:w="2266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算法审计年度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¥50K/年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持续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监管认可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行业协会会员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¥20K/年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持续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政策参与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i w:val="0"/>
          <w:color w:val="00D4FF"/>
          <w:sz w:val="28"/>
        </w:rPr>
        <w:t>四、风险#3：技术风险（系统故障）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4.1 风险描述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533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风险名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系统宕机/数据丢失/性能下降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触发条件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服务器故障/网络中断/代码Bug/数据库损坏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发生概率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低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（10%月发生率）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影响范围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客户访问中断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严重等级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中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（影响业务但不致命）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SLA目标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99.9%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（月宕机&lt;43分钟）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4.2 已部署的容灾架构</w:t>
      </w:r>
    </w:p>
    <w:p>
      <w:pPr>
        <w:spacing w:before="80"/>
      </w:pPr>
      <w:r>
        <w:rPr>
          <w:rFonts w:ascii="微软雅黑" w:hAnsi="微软雅黑" w:eastAsia="微软雅黑"/>
          <w:b/>
          <w:i w:val="0"/>
          <w:color w:val="666666"/>
          <w:sz w:val="18"/>
        </w:rPr>
        <w:t>代码块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┌──────────────────────────────────────────────┐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│ 阿里云ECS（华东1）主站                          │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│  - Streamlit应用（8443）                       │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│  - PostgreSQL数据库（主）                      │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│  - 监控告警（Prometheus+Grafana）              │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└──────────────────────────────────────────────┘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 xml:space="preserve">            ↓ 实时同步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┌──────────────────────────────────────────────┐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│ 阿里云ECS（华东2）备份                          │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│  - Streamlit应用（8444）                       │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│  - PostgreSQL数据库（备）                      │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│  - 异地灾备                                  │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└──────────────────────────────────────────────┘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 xml:space="preserve">            ↓ 每日备份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┌──────────────────────────────────────────────┐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│ AWS S3（国际备份）                              │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│  - 加密备份（AWS KMS）                          │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│  - 7天/30天/365天分级                          │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└──────────────────────────────────────────────┘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4.3 4种技术风险情景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4"/>
        </w:rPr>
        <w:t>情景A：单台服务器故障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触发</w:t>
      </w:r>
      <w:r>
        <w:rPr>
          <w:rFonts w:ascii="微软雅黑" w:hAnsi="微软雅黑" w:eastAsia="微软雅黑"/>
          <w:b w:val="0"/>
          <w:i w:val="0"/>
          <w:sz w:val="21"/>
        </w:rPr>
        <w:t>：阿里云ECS实例宕机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影响</w:t>
      </w:r>
      <w:r>
        <w:rPr>
          <w:rFonts w:ascii="微软雅黑" w:hAnsi="微软雅黑" w:eastAsia="微软雅黑"/>
          <w:b w:val="0"/>
          <w:i w:val="0"/>
          <w:sz w:val="21"/>
        </w:rPr>
        <w:t>：1-5分钟不可访问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预案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0-1min</w:t>
      </w:r>
      <w:r>
        <w:rPr>
          <w:rFonts w:ascii="微软雅黑" w:hAnsi="微软雅黑" w:eastAsia="微软雅黑"/>
          <w:b w:val="0"/>
          <w:i w:val="0"/>
          <w:sz w:val="21"/>
        </w:rPr>
        <w:t>：自动健康检查发现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1-2min</w:t>
      </w:r>
      <w:r>
        <w:rPr>
          <w:rFonts w:ascii="微软雅黑" w:hAnsi="微软雅黑" w:eastAsia="微软雅黑"/>
          <w:b w:val="0"/>
          <w:i w:val="0"/>
          <w:sz w:val="21"/>
        </w:rPr>
        <w:t>：自动切换到备用实例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2-5min</w:t>
      </w:r>
      <w:r>
        <w:rPr>
          <w:rFonts w:ascii="微软雅黑" w:hAnsi="微软雅黑" w:eastAsia="微软雅黑"/>
          <w:b w:val="0"/>
          <w:i w:val="0"/>
          <w:sz w:val="21"/>
        </w:rPr>
        <w:t>：服务恢复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5-30min</w:t>
      </w:r>
      <w:r>
        <w:rPr>
          <w:rFonts w:ascii="微软雅黑" w:hAnsi="微软雅黑" w:eastAsia="微软雅黑"/>
          <w:b w:val="0"/>
          <w:i w:val="0"/>
          <w:sz w:val="21"/>
        </w:rPr>
        <w:t>：修复主实例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RTO &lt; 5min，RPO = 0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4"/>
        </w:rPr>
        <w:t>情景B：数据库损坏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触发</w:t>
      </w:r>
      <w:r>
        <w:rPr>
          <w:rFonts w:ascii="微软雅黑" w:hAnsi="微软雅黑" w:eastAsia="微软雅黑"/>
          <w:b w:val="0"/>
          <w:i w:val="0"/>
          <w:sz w:val="21"/>
        </w:rPr>
        <w:t>：PostgreSQL主库数据损坏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影响</w:t>
      </w:r>
      <w:r>
        <w:rPr>
          <w:rFonts w:ascii="微软雅黑" w:hAnsi="微软雅黑" w:eastAsia="微软雅黑"/>
          <w:b w:val="0"/>
          <w:i w:val="0"/>
          <w:sz w:val="21"/>
        </w:rPr>
        <w:t>：1-15分钟不可用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预案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0-5min</w:t>
      </w:r>
      <w:r>
        <w:rPr>
          <w:rFonts w:ascii="微软雅黑" w:hAnsi="微软雅黑" w:eastAsia="微软雅黑"/>
          <w:b w:val="0"/>
          <w:i w:val="0"/>
          <w:sz w:val="21"/>
        </w:rPr>
        <w:t>：自动切换到从库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5-15min</w:t>
      </w:r>
      <w:r>
        <w:rPr>
          <w:rFonts w:ascii="微软雅黑" w:hAnsi="微软雅黑" w:eastAsia="微软雅黑"/>
          <w:b w:val="0"/>
          <w:i w:val="0"/>
          <w:sz w:val="21"/>
        </w:rPr>
        <w:t>：服务降级（只读）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15-60min</w:t>
      </w:r>
      <w:r>
        <w:rPr>
          <w:rFonts w:ascii="微软雅黑" w:hAnsi="微软雅黑" w:eastAsia="微软雅黑"/>
          <w:b w:val="0"/>
          <w:i w:val="0"/>
          <w:sz w:val="21"/>
        </w:rPr>
        <w:t>：修复主库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60-180min</w:t>
      </w:r>
      <w:r>
        <w:rPr>
          <w:rFonts w:ascii="微软雅黑" w:hAnsi="微软雅黑" w:eastAsia="微软雅黑"/>
          <w:b w:val="0"/>
          <w:i w:val="0"/>
          <w:sz w:val="21"/>
        </w:rPr>
        <w:t>：恢复写入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RTO &lt; 15min，RPO &lt; 1min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4"/>
        </w:rPr>
        <w:t>情景C：阿里云华东1区域故障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触发</w:t>
      </w:r>
      <w:r>
        <w:rPr>
          <w:rFonts w:ascii="微软雅黑" w:hAnsi="微软雅黑" w:eastAsia="微软雅黑"/>
          <w:b w:val="0"/>
          <w:i w:val="0"/>
          <w:sz w:val="21"/>
        </w:rPr>
        <w:t>：阿里云华东1区域大规模故障（极小概率）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影响</w:t>
      </w:r>
      <w:r>
        <w:rPr>
          <w:rFonts w:ascii="微软雅黑" w:hAnsi="微软雅黑" w:eastAsia="微软雅黑"/>
          <w:b w:val="0"/>
          <w:i w:val="0"/>
          <w:sz w:val="21"/>
        </w:rPr>
        <w:t>：30-60分钟不可用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预案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0-5min</w:t>
      </w:r>
      <w:r>
        <w:rPr>
          <w:rFonts w:ascii="微软雅黑" w:hAnsi="微软雅黑" w:eastAsia="微软雅黑"/>
          <w:b w:val="0"/>
          <w:i w:val="0"/>
          <w:sz w:val="21"/>
        </w:rPr>
        <w:t>：启动华东2灾备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5-30min</w:t>
      </w:r>
      <w:r>
        <w:rPr>
          <w:rFonts w:ascii="微软雅黑" w:hAnsi="微软雅黑" w:eastAsia="微软雅黑"/>
          <w:b w:val="0"/>
          <w:i w:val="0"/>
          <w:sz w:val="21"/>
        </w:rPr>
        <w:t>：DNS切换到灾备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30-60min</w:t>
      </w:r>
      <w:r>
        <w:rPr>
          <w:rFonts w:ascii="微软雅黑" w:hAnsi="微软雅黑" w:eastAsia="微软雅黑"/>
          <w:b w:val="0"/>
          <w:i w:val="0"/>
          <w:sz w:val="21"/>
        </w:rPr>
        <w:t>：服务恢复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RTO &lt; 60min，RPO &lt; 5min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4"/>
        </w:rPr>
        <w:t>情景D：代码Bug导致的服务异常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触发</w:t>
      </w:r>
      <w:r>
        <w:rPr>
          <w:rFonts w:ascii="微软雅黑" w:hAnsi="微软雅黑" w:eastAsia="微软雅黑"/>
          <w:b w:val="0"/>
          <w:i w:val="0"/>
          <w:sz w:val="21"/>
        </w:rPr>
        <w:t>：新版本部署引入Bug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影响</w:t>
      </w:r>
      <w:r>
        <w:rPr>
          <w:rFonts w:ascii="微软雅黑" w:hAnsi="微软雅黑" w:eastAsia="微软雅黑"/>
          <w:b w:val="0"/>
          <w:i w:val="0"/>
          <w:sz w:val="21"/>
        </w:rPr>
        <w:t>：部分功能不可用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预案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0-5min</w:t>
      </w:r>
      <w:r>
        <w:rPr>
          <w:rFonts w:ascii="微软雅黑" w:hAnsi="微软雅黑" w:eastAsia="微软雅黑"/>
          <w:b w:val="0"/>
          <w:i w:val="0"/>
          <w:sz w:val="21"/>
        </w:rPr>
        <w:t>：监控系统告警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5-15min</w:t>
      </w:r>
      <w:r>
        <w:rPr>
          <w:rFonts w:ascii="微软雅黑" w:hAnsi="微软雅黑" w:eastAsia="微软雅黑"/>
          <w:b w:val="0"/>
          <w:i w:val="0"/>
          <w:sz w:val="21"/>
        </w:rPr>
        <w:t>：回滚到上一版本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15-60min</w:t>
      </w:r>
      <w:r>
        <w:rPr>
          <w:rFonts w:ascii="微软雅黑" w:hAnsi="微软雅黑" w:eastAsia="微软雅黑"/>
          <w:b w:val="0"/>
          <w:i w:val="0"/>
          <w:sz w:val="21"/>
        </w:rPr>
        <w:t>：修复Bug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60-120min</w:t>
      </w:r>
      <w:r>
        <w:rPr>
          <w:rFonts w:ascii="微软雅黑" w:hAnsi="微软雅黑" w:eastAsia="微软雅黑"/>
          <w:b w:val="0"/>
          <w:i w:val="0"/>
          <w:sz w:val="21"/>
        </w:rPr>
        <w:t>：重新部署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客户无感知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4.4 监控告警系统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监控项</w:t>
            </w:r>
          </w:p>
        </w:tc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工具</w:t>
            </w:r>
          </w:p>
        </w:tc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告警阈值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服务器CPU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Prometheus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&gt;80%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内存使用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Prometheus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&gt;85%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磁盘空间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Prometheus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&gt;90%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数据库连接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Prometheus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&gt;80%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API响应时间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Prometheus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&gt;3秒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错误率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Sentry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&gt;1%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用户活跃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自建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突降50%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4.5 长期技术建设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建设项</w:t>
            </w:r>
          </w:p>
        </w:tc>
        <w:tc>
          <w:tcPr>
            <w:tcW w:type="dxa" w:w="2266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投入</w:t>
            </w:r>
          </w:p>
        </w:tc>
        <w:tc>
          <w:tcPr>
            <w:tcW w:type="dxa" w:w="2266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时长</w:t>
            </w:r>
          </w:p>
        </w:tc>
        <w:tc>
          <w:tcPr>
            <w:tcW w:type="dxa" w:w="2266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收益</w:t>
            </w:r>
          </w:p>
        </w:tc>
      </w:tr>
      <w:tr>
        <w:tc>
          <w:tcPr>
            <w:tcW w:type="dxa" w:w="2266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K8s容器化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¥200K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3月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弹性扩容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多云部署（AWS+Azure）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¥300K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6月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多云容灾</w:t>
            </w:r>
          </w:p>
        </w:tc>
      </w:tr>
      <w:tr>
        <w:tc>
          <w:tcPr>
            <w:tcW w:type="dxa" w:w="2266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CDN加速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¥50K/年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1月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全球加速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性能压测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¥50K/年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持续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性能优化</w:t>
            </w:r>
          </w:p>
        </w:tc>
      </w:tr>
      <w:tr>
        <w:tc>
          <w:tcPr>
            <w:tcW w:type="dxa" w:w="2266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渗透测试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¥100K/年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1次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安全加固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i w:val="0"/>
          <w:color w:val="00D4FF"/>
          <w:sz w:val="28"/>
        </w:rPr>
        <w:t>五、风险#4：市场风险（竞品涌入）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5.1 风险描述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533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风险名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大公司/创业公司涌入A股AI选股赛道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触发条件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Wind/恒生/同花顺等大公司推出AI功能 / 新创业公司出现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发生概率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中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（50%年发生率）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影响范围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市场份额/客单价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严重等级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中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（影响增长但不致命）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5.2 竞品分析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竞品</w:t>
            </w:r>
          </w:p>
        </w:tc>
        <w:tc>
          <w:tcPr>
            <w:tcW w:type="dxa" w:w="1813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类型</w:t>
            </w:r>
          </w:p>
        </w:tc>
        <w:tc>
          <w:tcPr>
            <w:tcW w:type="dxa" w:w="1813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优势</w:t>
            </w:r>
          </w:p>
        </w:tc>
        <w:tc>
          <w:tcPr>
            <w:tcW w:type="dxa" w:w="1813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劣势</w:t>
            </w:r>
          </w:p>
        </w:tc>
        <w:tc>
          <w:tcPr>
            <w:tcW w:type="dxa" w:w="1813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应对</w:t>
            </w:r>
          </w:p>
        </w:tc>
      </w:tr>
      <w:tr>
        <w:tc>
          <w:tcPr>
            <w:tcW w:type="dxa" w:w="1813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Wind</w:t>
            </w:r>
          </w:p>
        </w:tc>
        <w:tc>
          <w:tcPr>
            <w:tcW w:type="dxa" w:w="181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数据龙头</w:t>
            </w:r>
          </w:p>
        </w:tc>
        <w:tc>
          <w:tcPr>
            <w:tcW w:type="dxa" w:w="181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品牌+客户+数据</w:t>
            </w:r>
          </w:p>
        </w:tc>
        <w:tc>
          <w:tcPr>
            <w:tcW w:type="dxa" w:w="181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不可解释+贵</w:t>
            </w:r>
          </w:p>
        </w:tc>
        <w:tc>
          <w:tcPr>
            <w:tcW w:type="dxa" w:w="181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差异化SHAP+性价比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恒生电子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金融科技巨头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券商渠道+技术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传统架构+慢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抢占先发优势</w:t>
            </w:r>
          </w:p>
        </w:tc>
      </w:tr>
      <w:tr>
        <w:tc>
          <w:tcPr>
            <w:tcW w:type="dxa" w:w="1813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同花顺iFinD</w:t>
            </w:r>
          </w:p>
        </w:tc>
        <w:tc>
          <w:tcPr>
            <w:tcW w:type="dxa" w:w="181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互联网券商</w:t>
            </w:r>
          </w:p>
        </w:tc>
        <w:tc>
          <w:tcPr>
            <w:tcW w:type="dxa" w:w="181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用户基数+品牌</w:t>
            </w:r>
          </w:p>
        </w:tc>
        <w:tc>
          <w:tcPr>
            <w:tcW w:type="dxa" w:w="181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不可解释</w:t>
            </w:r>
          </w:p>
        </w:tc>
        <w:tc>
          <w:tcPr>
            <w:tcW w:type="dxa" w:w="181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抢占B端市场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新创业公司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AI原生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技术新+灵活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客户+资金弱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时间壁垒+客户深度</w:t>
            </w:r>
          </w:p>
        </w:tc>
      </w:tr>
      <w:tr>
        <w:tc>
          <w:tcPr>
            <w:tcW w:type="dxa" w:w="1813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量化私募自研</w:t>
            </w:r>
          </w:p>
        </w:tc>
        <w:tc>
          <w:tcPr>
            <w:tcW w:type="dxa" w:w="181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内部</w:t>
            </w:r>
          </w:p>
        </w:tc>
        <w:tc>
          <w:tcPr>
            <w:tcW w:type="dxa" w:w="181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深度定制</w:t>
            </w:r>
          </w:p>
        </w:tc>
        <w:tc>
          <w:tcPr>
            <w:tcW w:type="dxa" w:w="181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成本高+慢</w:t>
            </w:r>
          </w:p>
        </w:tc>
        <w:tc>
          <w:tcPr>
            <w:tcW w:type="dxa" w:w="181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SaaS普惠价值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大厂AI（蚂蚁/腾讯）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巨头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算力+数据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不懂金融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专业Know-how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5.3 防御策略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4"/>
        </w:rPr>
        <w:t>策略A：技术壁垒（持续）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每周迭代</w:t>
      </w:r>
      <w:r>
        <w:rPr>
          <w:rFonts w:ascii="微软雅黑" w:hAnsi="微软雅黑" w:eastAsia="微软雅黑"/>
          <w:b w:val="0"/>
          <w:i w:val="0"/>
          <w:sz w:val="21"/>
        </w:rPr>
        <w:t>：周度因子重训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每月升级</w:t>
      </w:r>
      <w:r>
        <w:rPr>
          <w:rFonts w:ascii="微软雅黑" w:hAnsi="微软雅黑" w:eastAsia="微软雅黑"/>
          <w:b w:val="0"/>
          <w:i w:val="0"/>
          <w:sz w:val="21"/>
        </w:rPr>
        <w:t>：月度策略复盘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每季突破</w:t>
      </w:r>
      <w:r>
        <w:rPr>
          <w:rFonts w:ascii="微软雅黑" w:hAnsi="微软雅黑" w:eastAsia="微软雅黑"/>
          <w:b w:val="0"/>
          <w:i w:val="0"/>
          <w:sz w:val="21"/>
        </w:rPr>
        <w:t>：季度模型升级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JFE论文</w:t>
      </w:r>
      <w:r>
        <w:rPr>
          <w:rFonts w:ascii="微软雅黑" w:hAnsi="微软雅黑" w:eastAsia="微软雅黑"/>
          <w:b w:val="0"/>
          <w:i w:val="0"/>
          <w:sz w:val="21"/>
        </w:rPr>
        <w:t>：学术制高点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专利布局</w:t>
      </w:r>
      <w:r>
        <w:rPr>
          <w:rFonts w:ascii="微软雅黑" w:hAnsi="微软雅黑" w:eastAsia="微软雅黑"/>
          <w:b w:val="0"/>
          <w:i w:val="0"/>
          <w:sz w:val="21"/>
        </w:rPr>
        <w:t>：3项发明专利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4"/>
        </w:rPr>
        <w:t>策略B：客户深度（核心）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续约率92%</w:t>
      </w:r>
      <w:r>
        <w:rPr>
          <w:rFonts w:ascii="微软雅黑" w:hAnsi="微软雅黑" w:eastAsia="微软雅黑"/>
          <w:b w:val="0"/>
          <w:i w:val="0"/>
          <w:sz w:val="21"/>
        </w:rPr>
        <w:t>：行业最高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扩单率40%</w:t>
      </w:r>
      <w:r>
        <w:rPr>
          <w:rFonts w:ascii="微软雅黑" w:hAnsi="微软雅黑" w:eastAsia="微软雅黑"/>
          <w:b w:val="0"/>
          <w:i w:val="0"/>
          <w:sz w:val="21"/>
        </w:rPr>
        <w:t>：NRR 140%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转介率40%</w:t>
      </w:r>
      <w:r>
        <w:rPr>
          <w:rFonts w:ascii="微软雅黑" w:hAnsi="微软雅黑" w:eastAsia="微软雅黑"/>
          <w:b w:val="0"/>
          <w:i w:val="0"/>
          <w:sz w:val="21"/>
        </w:rPr>
        <w:t>：5家转介3家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深度绑定</w:t>
      </w:r>
      <w:r>
        <w:rPr>
          <w:rFonts w:ascii="微软雅黑" w:hAnsi="微软雅黑" w:eastAsia="微软雅黑"/>
          <w:b w:val="0"/>
          <w:i w:val="0"/>
          <w:sz w:val="21"/>
        </w:rPr>
        <w:t>：永字资管公开背书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4"/>
        </w:rPr>
        <w:t>策略C：生态壁垒（长期）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5所高校MOU</w:t>
      </w:r>
      <w:r>
        <w:rPr>
          <w:rFonts w:ascii="微软雅黑" w:hAnsi="微软雅黑" w:eastAsia="微软雅黑"/>
          <w:b w:val="0"/>
          <w:i w:val="0"/>
          <w:sz w:val="21"/>
        </w:rPr>
        <w:t>：学术+人才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诺奖顾问拟邀</w:t>
      </w:r>
      <w:r>
        <w:rPr>
          <w:rFonts w:ascii="微软雅黑" w:hAnsi="微软雅黑" w:eastAsia="微软雅黑"/>
          <w:b w:val="0"/>
          <w:i w:val="0"/>
          <w:sz w:val="21"/>
        </w:rPr>
        <w:t>：品牌+权威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行业协会</w:t>
      </w:r>
      <w:r>
        <w:rPr>
          <w:rFonts w:ascii="微软雅黑" w:hAnsi="微软雅黑" w:eastAsia="微软雅黑"/>
          <w:b w:val="0"/>
          <w:i w:val="0"/>
          <w:sz w:val="21"/>
        </w:rPr>
        <w:t>：中基协/中证协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行业媒体</w:t>
      </w:r>
      <w:r>
        <w:rPr>
          <w:rFonts w:ascii="微软雅黑" w:hAnsi="微软雅黑" w:eastAsia="微软雅黑"/>
          <w:b w:val="0"/>
          <w:i w:val="0"/>
          <w:sz w:val="21"/>
        </w:rPr>
        <w:t>：财新/21世纪/36氪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4"/>
        </w:rPr>
        <w:t>策略D：价格策略（灵活）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基础版</w:t>
      </w:r>
      <w:r>
        <w:rPr>
          <w:rFonts w:ascii="微软雅黑" w:hAnsi="微软雅黑" w:eastAsia="微软雅黑"/>
          <w:b w:val="0"/>
          <w:i w:val="0"/>
          <w:sz w:val="21"/>
        </w:rPr>
        <w:t>：低价获客（漏斗）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企业版</w:t>
      </w:r>
      <w:r>
        <w:rPr>
          <w:rFonts w:ascii="微软雅黑" w:hAnsi="微软雅黑" w:eastAsia="微软雅黑"/>
          <w:b w:val="0"/>
          <w:i w:val="0"/>
          <w:sz w:val="21"/>
        </w:rPr>
        <w:t>：标准定价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高净值版</w:t>
      </w:r>
      <w:r>
        <w:rPr>
          <w:rFonts w:ascii="微软雅黑" w:hAnsi="微软雅黑" w:eastAsia="微软雅黑"/>
          <w:b w:val="0"/>
          <w:i w:val="0"/>
          <w:sz w:val="21"/>
        </w:rPr>
        <w:t>：高客单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增值服务</w:t>
      </w:r>
      <w:r>
        <w:rPr>
          <w:rFonts w:ascii="微软雅黑" w:hAnsi="微软雅黑" w:eastAsia="微软雅黑"/>
          <w:b w:val="0"/>
          <w:i w:val="0"/>
          <w:sz w:val="21"/>
        </w:rPr>
        <w:t>：增量收入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不卷价格</w:t>
      </w:r>
      <w:r>
        <w:rPr>
          <w:rFonts w:ascii="微软雅黑" w:hAnsi="微软雅黑" w:eastAsia="微软雅黑"/>
          <w:b w:val="0"/>
          <w:i w:val="0"/>
          <w:sz w:val="21"/>
        </w:rPr>
        <w:t>：卷价值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5.4 5种竞品情景预案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4"/>
        </w:rPr>
        <w:t>情景A：Wind推出AI选股功能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应对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强化SHAP差异化（Wind不可解释）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强化A股本土化（Wind全球数据）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强化性价比（Wind 3倍价格）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抢占"Wind vs QuantInsight"心智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4"/>
        </w:rPr>
        <w:t>情景B：恒生推出AI投研平台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应对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强化"AI原生"（恒生传统架构）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强化SaaS易用性（恒生项目制）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强化客户深度（永字等案例）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4"/>
        </w:rPr>
        <w:t>情景C：同花顺/雪球推出AI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应对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强化B端定位（他们C端）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强化企业版功能（他们C端版）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强化SHAP可解释（他们黑盒）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4"/>
        </w:rPr>
        <w:t>情景D：5家新创业公司出现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应对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抢占先发优势（先签约3家头部）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强化数据壁垒（11.4年+500只）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强化品牌（永字公开背书）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强化融资（A轮¥1亿）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4"/>
        </w:rPr>
        <w:t>情景E：竞品发起价格战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应对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不参与价格战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强化价值主张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强化客户关系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强化服务深度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5.5 关键监控指标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监控频次</w:t>
            </w:r>
          </w:p>
        </w:tc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告警阈值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新竞品发布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每周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任何AI选股新公司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客户咨询竞品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每月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提及竞品≥3次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价格压力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每月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客户压价≥20%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客户流失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每月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流失率&gt;10%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i w:val="0"/>
          <w:color w:val="00D4FF"/>
          <w:sz w:val="28"/>
        </w:rPr>
        <w:t>六、风险#5：资金风险（回款延迟）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6.1 风险描述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533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风险名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客户回款延迟/拒付/公司资金链紧张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触发条件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客户经营困难/审批延迟/合同纠纷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发生概率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低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（10%年发生率）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影响范围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现金流/团队/扩张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严重等级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中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（影响运营但不致命）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6.2 当前资金状况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金额</w:t>
            </w:r>
          </w:p>
        </w:tc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现金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¥800万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创始人+天使投资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已到账ARR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¥32万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永字Q1+Q2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应收中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¥30万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永字Q3（已开票）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应收中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¥18万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家办（待开票）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即将签约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¥80万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华泰Q3起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即将签约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¥500万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中信（9月）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月固定支出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¥98万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团队+租金+云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可运营时长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8-12月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充足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6.3 现金流管理</w:t>
      </w:r>
    </w:p>
    <w:p>
      <w:pPr>
        <w:spacing w:before="80"/>
      </w:pPr>
      <w:r>
        <w:rPr>
          <w:rFonts w:ascii="微软雅黑" w:hAnsi="微软雅黑" w:eastAsia="微软雅黑"/>
          <w:b/>
          <w:i w:val="0"/>
          <w:color w:val="666666"/>
          <w:sz w:val="18"/>
        </w:rPr>
        <w:t>代码块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Y1月度现金流：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 xml:space="preserve">  入：¥30-50万（递增）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 xml:space="preserve">  出：¥98万（稳定）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 xml:space="preserve">  差：-¥50万（前期投入）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 xml:space="preserve">  → A轮融资后转正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6.4 4种资金风险情景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4"/>
        </w:rPr>
        <w:t>情景A：客户回款延迟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触发</w:t>
      </w:r>
      <w:r>
        <w:rPr>
          <w:rFonts w:ascii="微软雅黑" w:hAnsi="微软雅黑" w:eastAsia="微软雅黑"/>
          <w:b w:val="0"/>
          <w:i w:val="0"/>
          <w:sz w:val="21"/>
        </w:rPr>
        <w:t>：客户付款审批延迟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影响</w:t>
      </w:r>
      <w:r>
        <w:rPr>
          <w:rFonts w:ascii="微软雅黑" w:hAnsi="微软雅黑" w:eastAsia="微软雅黑"/>
          <w:b w:val="0"/>
          <w:i w:val="0"/>
          <w:sz w:val="21"/>
        </w:rPr>
        <w:t>：单月现金流压力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预案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0-7天</w:t>
      </w:r>
      <w:r>
        <w:rPr>
          <w:rFonts w:ascii="微软雅黑" w:hAnsi="微软雅黑" w:eastAsia="微软雅黑"/>
          <w:b w:val="0"/>
          <w:i w:val="0"/>
          <w:sz w:val="21"/>
        </w:rPr>
        <w:t>：CSM催收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7-15天</w:t>
      </w:r>
      <w:r>
        <w:rPr>
          <w:rFonts w:ascii="微软雅黑" w:hAnsi="微软雅黑" w:eastAsia="微软雅黑"/>
          <w:b w:val="0"/>
          <w:i w:val="0"/>
          <w:sz w:val="21"/>
        </w:rPr>
        <w:t>：CSO介入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15-30天</w:t>
      </w:r>
      <w:r>
        <w:rPr>
          <w:rFonts w:ascii="微软雅黑" w:hAnsi="微软雅黑" w:eastAsia="微软雅黑"/>
          <w:b w:val="0"/>
          <w:i w:val="0"/>
          <w:sz w:val="21"/>
        </w:rPr>
        <w:t>：法律函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30-60天</w:t>
      </w:r>
      <w:r>
        <w:rPr>
          <w:rFonts w:ascii="微软雅黑" w:hAnsi="微软雅黑" w:eastAsia="微软雅黑"/>
          <w:b w:val="0"/>
          <w:i w:val="0"/>
          <w:sz w:val="21"/>
        </w:rPr>
        <w:t>：停止服务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60+天</w:t>
      </w:r>
      <w:r>
        <w:rPr>
          <w:rFonts w:ascii="微软雅黑" w:hAnsi="微软雅黑" w:eastAsia="微软雅黑"/>
          <w:b w:val="0"/>
          <w:i w:val="0"/>
          <w:sz w:val="21"/>
        </w:rPr>
        <w:t>：法律诉讼+资产保全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4"/>
        </w:rPr>
        <w:t>情景B：客户拒付/退款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触发</w:t>
      </w:r>
      <w:r>
        <w:rPr>
          <w:rFonts w:ascii="微软雅黑" w:hAnsi="微软雅黑" w:eastAsia="微软雅黑"/>
          <w:b w:val="0"/>
          <w:i w:val="0"/>
          <w:sz w:val="21"/>
        </w:rPr>
        <w:t>：客户对服务不满意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影响</w:t>
      </w:r>
      <w:r>
        <w:rPr>
          <w:rFonts w:ascii="微软雅黑" w:hAnsi="微软雅黑" w:eastAsia="微软雅黑"/>
          <w:b w:val="0"/>
          <w:i w:val="0"/>
          <w:sz w:val="21"/>
        </w:rPr>
        <w:t>：收入损失+声誉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预案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0-7天</w:t>
      </w:r>
      <w:r>
        <w:rPr>
          <w:rFonts w:ascii="微软雅黑" w:hAnsi="微软雅黑" w:eastAsia="微软雅黑"/>
          <w:b w:val="0"/>
          <w:i w:val="0"/>
          <w:sz w:val="21"/>
        </w:rPr>
        <w:t>：CSM深度沟通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7-15天</w:t>
      </w:r>
      <w:r>
        <w:rPr>
          <w:rFonts w:ascii="微软雅黑" w:hAnsi="微软雅黑" w:eastAsia="微软雅黑"/>
          <w:b w:val="0"/>
          <w:i w:val="0"/>
          <w:sz w:val="21"/>
        </w:rPr>
        <w:t>：CSO协商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15-30天</w:t>
      </w:r>
      <w:r>
        <w:rPr>
          <w:rFonts w:ascii="微软雅黑" w:hAnsi="微软雅黑" w:eastAsia="微软雅黑"/>
          <w:b w:val="0"/>
          <w:i w:val="0"/>
          <w:sz w:val="21"/>
        </w:rPr>
        <w:t>：部分退款+服务补偿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30+天</w:t>
      </w:r>
      <w:r>
        <w:rPr>
          <w:rFonts w:ascii="微软雅黑" w:hAnsi="微软雅黑" w:eastAsia="微软雅黑"/>
          <w:b w:val="0"/>
          <w:i w:val="0"/>
          <w:sz w:val="21"/>
        </w:rPr>
        <w:t>：协商解决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客户保留优先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4"/>
        </w:rPr>
        <w:t>情景C：客户经营困难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触发</w:t>
      </w:r>
      <w:r>
        <w:rPr>
          <w:rFonts w:ascii="微软雅黑" w:hAnsi="微软雅黑" w:eastAsia="微软雅黑"/>
          <w:b w:val="0"/>
          <w:i w:val="0"/>
          <w:sz w:val="21"/>
        </w:rPr>
        <w:t>：客户公司经营不善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影响</w:t>
      </w:r>
      <w:r>
        <w:rPr>
          <w:rFonts w:ascii="微软雅黑" w:hAnsi="微软雅黑" w:eastAsia="微软雅黑"/>
          <w:b w:val="0"/>
          <w:i w:val="0"/>
          <w:sz w:val="21"/>
        </w:rPr>
        <w:t>：合同中止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预案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客户健康度监控（季度）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提前预警（财务异常）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切换备份客户（及时填补）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4"/>
        </w:rPr>
        <w:t>情景D：A轮融资失败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触发</w:t>
      </w:r>
      <w:r>
        <w:rPr>
          <w:rFonts w:ascii="微软雅黑" w:hAnsi="微软雅黑" w:eastAsia="微软雅黑"/>
          <w:b w:val="0"/>
          <w:i w:val="0"/>
          <w:sz w:val="21"/>
        </w:rPr>
        <w:t>：A轮融资Close失败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影响</w:t>
      </w:r>
      <w:r>
        <w:rPr>
          <w:rFonts w:ascii="微软雅黑" w:hAnsi="微软雅黑" w:eastAsia="微软雅黑"/>
          <w:b w:val="0"/>
          <w:i w:val="0"/>
          <w:sz w:val="21"/>
        </w:rPr>
        <w:t>：扩张计划延后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预案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方案1</w:t>
      </w:r>
      <w:r>
        <w:rPr>
          <w:rFonts w:ascii="微软雅黑" w:hAnsi="微软雅黑" w:eastAsia="微软雅黑"/>
          <w:b w:val="0"/>
          <w:i w:val="0"/>
          <w:sz w:val="21"/>
        </w:rPr>
        <w:t>：延长运营到12月（已有现金）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方案2</w:t>
      </w:r>
      <w:r>
        <w:rPr>
          <w:rFonts w:ascii="微软雅黑" w:hAnsi="微软雅黑" w:eastAsia="微软雅黑"/>
          <w:b w:val="0"/>
          <w:i w:val="0"/>
          <w:sz w:val="21"/>
        </w:rPr>
        <w:t>：暂缓扩招+控制成本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方案3</w:t>
      </w:r>
      <w:r>
        <w:rPr>
          <w:rFonts w:ascii="微软雅黑" w:hAnsi="微软雅黑" w:eastAsia="微软雅黑"/>
          <w:b w:val="0"/>
          <w:i w:val="0"/>
          <w:sz w:val="21"/>
        </w:rPr>
        <w:t>：申请政府补贴（科委/张江）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方案4</w:t>
      </w:r>
      <w:r>
        <w:rPr>
          <w:rFonts w:ascii="微软雅黑" w:hAnsi="微软雅黑" w:eastAsia="微软雅黑"/>
          <w:b w:val="0"/>
          <w:i w:val="0"/>
          <w:sz w:val="21"/>
        </w:rPr>
        <w:t>：客户预付款（半年付）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方案5</w:t>
      </w:r>
      <w:r>
        <w:rPr>
          <w:rFonts w:ascii="微软雅黑" w:hAnsi="微软雅黑" w:eastAsia="微软雅黑"/>
          <w:b w:val="0"/>
          <w:i w:val="0"/>
          <w:sz w:val="21"/>
        </w:rPr>
        <w:t>：创始人追加投资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6.5 资金应急预案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4"/>
        </w:rPr>
        <w:t>预案A：现金紧张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触发</w:t>
      </w:r>
      <w:r>
        <w:rPr>
          <w:rFonts w:ascii="微软雅黑" w:hAnsi="微软雅黑" w:eastAsia="微软雅黑"/>
          <w:b w:val="0"/>
          <w:i w:val="0"/>
          <w:sz w:val="21"/>
        </w:rPr>
        <w:t>：账上现金&lt;3月支出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响应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0-7天</w:t>
      </w:r>
      <w:r>
        <w:rPr>
          <w:rFonts w:ascii="微软雅黑" w:hAnsi="微软雅黑" w:eastAsia="微软雅黑"/>
          <w:b w:val="0"/>
          <w:i w:val="0"/>
          <w:sz w:val="21"/>
        </w:rPr>
        <w:t>：创始人紧急注资¥200万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7-15天</w:t>
      </w:r>
      <w:r>
        <w:rPr>
          <w:rFonts w:ascii="微软雅黑" w:hAnsi="微软雅黑" w:eastAsia="微软雅黑"/>
          <w:b w:val="0"/>
          <w:i w:val="0"/>
          <w:sz w:val="21"/>
        </w:rPr>
        <w:t>：申请科委/张江补贴¥100万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15-30天</w:t>
      </w:r>
      <w:r>
        <w:rPr>
          <w:rFonts w:ascii="微软雅黑" w:hAnsi="微软雅黑" w:eastAsia="微软雅黑"/>
          <w:b w:val="0"/>
          <w:i w:val="0"/>
          <w:sz w:val="21"/>
        </w:rPr>
        <w:t>：客户预付款（10%折扣）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30-60天</w:t>
      </w:r>
      <w:r>
        <w:rPr>
          <w:rFonts w:ascii="微软雅黑" w:hAnsi="微软雅黑" w:eastAsia="微软雅黑"/>
          <w:b w:val="0"/>
          <w:i w:val="0"/>
          <w:sz w:val="21"/>
        </w:rPr>
        <w:t>：B轮/老股东跟投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60+天</w:t>
      </w:r>
      <w:r>
        <w:rPr>
          <w:rFonts w:ascii="微软雅黑" w:hAnsi="微软雅黑" w:eastAsia="微软雅黑"/>
          <w:b w:val="0"/>
          <w:i w:val="0"/>
          <w:sz w:val="21"/>
        </w:rPr>
        <w:t>：战略并购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4"/>
        </w:rPr>
        <w:t>预案B：客户集中度过高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触发</w:t>
      </w:r>
      <w:r>
        <w:rPr>
          <w:rFonts w:ascii="微软雅黑" w:hAnsi="微软雅黑" w:eastAsia="微软雅黑"/>
          <w:b w:val="0"/>
          <w:i w:val="0"/>
          <w:sz w:val="21"/>
        </w:rPr>
        <w:t>：单客户占比&gt;30%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响应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主动分散客户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不依赖单一大客户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提升服务粘性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6.6 长期资金管理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策略</w:t>
            </w:r>
          </w:p>
        </w:tc>
        <w:tc>
          <w:tcPr>
            <w:tcW w:type="dxa" w:w="4533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实施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月度现金流预算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CFO（拟）+ 财务团队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季度滚动预测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12个月滚动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半年融资复盘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调整融资节奏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客户预付款激励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8%折扣（年付）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应收账款管理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DSO&lt;60天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i w:val="0"/>
          <w:color w:val="00D4FF"/>
          <w:sz w:val="28"/>
        </w:rPr>
        <w:t>七、5大风险总览表（路演即用）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11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511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风险</w:t>
            </w:r>
          </w:p>
        </w:tc>
        <w:tc>
          <w:tcPr>
            <w:tcW w:type="dxa" w:w="1511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概率</w:t>
            </w:r>
          </w:p>
        </w:tc>
        <w:tc>
          <w:tcPr>
            <w:tcW w:type="dxa" w:w="1511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影响</w:t>
            </w:r>
          </w:p>
        </w:tc>
        <w:tc>
          <w:tcPr>
            <w:tcW w:type="dxa" w:w="1511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预案状态</w:t>
            </w:r>
          </w:p>
        </w:tc>
        <w:tc>
          <w:tcPr>
            <w:tcW w:type="dxa" w:w="1511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关键措施</w:t>
            </w:r>
          </w:p>
        </w:tc>
      </w:tr>
      <w:tr>
        <w:tc>
          <w:tcPr>
            <w:tcW w:type="dxa" w:w="1511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1</w:t>
            </w:r>
          </w:p>
        </w:tc>
        <w:tc>
          <w:tcPr>
            <w:tcW w:type="dxa" w:w="151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数据风险</w:t>
            </w:r>
          </w:p>
        </w:tc>
        <w:tc>
          <w:tcPr>
            <w:tcW w:type="dxa" w:w="151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中</w:t>
            </w:r>
          </w:p>
        </w:tc>
        <w:tc>
          <w:tcPr>
            <w:tcW w:type="dxa" w:w="151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高</w:t>
            </w:r>
          </w:p>
        </w:tc>
        <w:tc>
          <w:tcPr>
            <w:tcW w:type="dxa" w:w="151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✅ 3层fallback</w:t>
            </w:r>
          </w:p>
        </w:tc>
        <w:tc>
          <w:tcPr>
            <w:tcW w:type="dxa" w:w="151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Tushare+多源+示例</w:t>
            </w:r>
          </w:p>
        </w:tc>
      </w:tr>
      <w:tr>
        <w:tc>
          <w:tcPr>
            <w:tcW w:type="dxa" w:w="1511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2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合规风险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低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高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✅ 算法备案+法务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持续合规建设</w:t>
            </w:r>
          </w:p>
        </w:tc>
      </w:tr>
      <w:tr>
        <w:tc>
          <w:tcPr>
            <w:tcW w:type="dxa" w:w="1511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3</w:t>
            </w:r>
          </w:p>
        </w:tc>
        <w:tc>
          <w:tcPr>
            <w:tcW w:type="dxa" w:w="151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技术风险</w:t>
            </w:r>
          </w:p>
        </w:tc>
        <w:tc>
          <w:tcPr>
            <w:tcW w:type="dxa" w:w="151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低</w:t>
            </w:r>
          </w:p>
        </w:tc>
        <w:tc>
          <w:tcPr>
            <w:tcW w:type="dxa" w:w="151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中</w:t>
            </w:r>
          </w:p>
        </w:tc>
        <w:tc>
          <w:tcPr>
            <w:tcW w:type="dxa" w:w="151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✅ 双活+异地灾备</w:t>
            </w:r>
          </w:p>
        </w:tc>
        <w:tc>
          <w:tcPr>
            <w:tcW w:type="dxa" w:w="151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K8s+多云</w:t>
            </w:r>
          </w:p>
        </w:tc>
      </w:tr>
      <w:tr>
        <w:tc>
          <w:tcPr>
            <w:tcW w:type="dxa" w:w="1511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4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市场风险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中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中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✅ 4大壁垒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技术+客户+生态+价格</w:t>
            </w:r>
          </w:p>
        </w:tc>
      </w:tr>
      <w:tr>
        <w:tc>
          <w:tcPr>
            <w:tcW w:type="dxa" w:w="1511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5</w:t>
            </w:r>
          </w:p>
        </w:tc>
        <w:tc>
          <w:tcPr>
            <w:tcW w:type="dxa" w:w="151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资金风险</w:t>
            </w:r>
          </w:p>
        </w:tc>
        <w:tc>
          <w:tcPr>
            <w:tcW w:type="dxa" w:w="151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低</w:t>
            </w:r>
          </w:p>
        </w:tc>
        <w:tc>
          <w:tcPr>
            <w:tcW w:type="dxa" w:w="151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高</w:t>
            </w:r>
          </w:p>
        </w:tc>
        <w:tc>
          <w:tcPr>
            <w:tcW w:type="dxa" w:w="151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✅ ¥800万+12月</w:t>
            </w:r>
          </w:p>
        </w:tc>
        <w:tc>
          <w:tcPr>
            <w:tcW w:type="dxa" w:w="151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创始注资+融资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i w:val="0"/>
          <w:color w:val="00D4FF"/>
          <w:sz w:val="28"/>
        </w:rPr>
        <w:t>八、路演使用建议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8.1 何时使用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评委主动问"风险"时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答辩Q&amp;A环节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评委提到"竞品"时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评委质疑"可持续性"时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8.2 表达模板（30秒）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"评委好，我们识别了5大核心风险——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1. 数据风险：akshare不稳定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2. 合规风险：AI监管政策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3. 技术风险：系统故障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4. 市场风险：竞品涌入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5. 资金风险：回款延迟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每一个风险都有完整预案——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详见《风险预案V2》。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5大风险都想清楚了，这是创业老兵和新手的区别。"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8.3 表达模板（60秒）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"评委好，5大风险我们逐一想清楚了：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1. 数据风险：3层fallback（akshare+东方财富+示例数据），已运行12个月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2. 合规风险：已完成证监会算法备案，这是业内首批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3. 技术风险：双活架构+异地灾备，SLA 99.9%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4. 市场风险：4大壁垒（技术+客户+生态+价格），LTV/CAC=82.2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5. 资金风险：账上¥800万，可运营8-12月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加上创始人紧急注资+科委补贴+客户预付款——5层资金安全垫。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评委可以现场查阅《风险预案V2》详版。"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8.4 关键金句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"</w:t>
      </w:r>
      <w:r>
        <w:rPr>
          <w:rFonts w:ascii="微软雅黑" w:hAnsi="微软雅黑" w:eastAsia="微软雅黑"/>
          <w:b/>
          <w:i w:val="0"/>
          <w:sz w:val="21"/>
        </w:rPr>
        <w:t>5大风险都想清楚了——这是创业老兵和新手的区别</w:t>
      </w:r>
      <w:r>
        <w:rPr>
          <w:rFonts w:ascii="微软雅黑" w:hAnsi="微软雅黑" w:eastAsia="微软雅黑"/>
          <w:b w:val="0"/>
          <w:i w:val="0"/>
          <w:sz w:val="21"/>
        </w:rPr>
        <w:t>"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"</w:t>
      </w:r>
      <w:r>
        <w:rPr>
          <w:rFonts w:ascii="微软雅黑" w:hAnsi="微软雅黑" w:eastAsia="微软雅黑"/>
          <w:b/>
          <w:i w:val="0"/>
          <w:sz w:val="21"/>
        </w:rPr>
        <w:t>5大风险+5层安全垫，评委放心</w:t>
      </w:r>
      <w:r>
        <w:rPr>
          <w:rFonts w:ascii="微软雅黑" w:hAnsi="微软雅黑" w:eastAsia="微软雅黑"/>
          <w:b w:val="0"/>
          <w:i w:val="0"/>
          <w:sz w:val="21"/>
        </w:rPr>
        <w:t>"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"</w:t>
      </w:r>
      <w:r>
        <w:rPr>
          <w:rFonts w:ascii="微软雅黑" w:hAnsi="微软雅黑" w:eastAsia="微软雅黑"/>
          <w:b/>
          <w:i w:val="0"/>
          <w:sz w:val="21"/>
        </w:rPr>
        <w:t>预案不是事后补救，是事前规划</w:t>
      </w:r>
      <w:r>
        <w:rPr>
          <w:rFonts w:ascii="微软雅黑" w:hAnsi="微软雅黑" w:eastAsia="微软雅黑"/>
          <w:b w:val="0"/>
          <w:i w:val="0"/>
          <w:sz w:val="21"/>
        </w:rPr>
        <w:t>"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"</w:t>
      </w:r>
      <w:r>
        <w:rPr>
          <w:rFonts w:ascii="微软雅黑" w:hAnsi="微软雅黑" w:eastAsia="微软雅黑"/>
          <w:b/>
          <w:i w:val="0"/>
          <w:sz w:val="21"/>
        </w:rPr>
        <w:t>风险管理能力，是融资的关键指标</w:t>
      </w:r>
      <w:r>
        <w:rPr>
          <w:rFonts w:ascii="微软雅黑" w:hAnsi="微软雅黑" w:eastAsia="微软雅黑"/>
          <w:b w:val="0"/>
          <w:i w:val="0"/>
          <w:sz w:val="21"/>
        </w:rPr>
        <w:t>"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"</w:t>
      </w:r>
      <w:r>
        <w:rPr>
          <w:rFonts w:ascii="微软雅黑" w:hAnsi="微软雅黑" w:eastAsia="微软雅黑"/>
          <w:b/>
          <w:i w:val="0"/>
          <w:sz w:val="21"/>
        </w:rPr>
        <w:t>我们敬畏风险，所以活得更久</w:t>
      </w:r>
      <w:r>
        <w:rPr>
          <w:rFonts w:ascii="微软雅黑" w:hAnsi="微软雅黑" w:eastAsia="微软雅黑"/>
          <w:b w:val="0"/>
          <w:i w:val="0"/>
          <w:sz w:val="21"/>
        </w:rPr>
        <w:t>"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00D4FF"/>
          <w:sz w:val="28"/>
        </w:rPr>
        <w:t>九、附录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附录A：风险预警联系人表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风险类型</w:t>
            </w:r>
          </w:p>
        </w:tc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第一响应</w:t>
            </w:r>
          </w:p>
        </w:tc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升级路径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数据风险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CTO王宇寒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CSO→CEO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合规风险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量化梁理智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CEO+法务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技术风险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CTO王宇寒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CEO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市场风险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量化梁理智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CEO+CMO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资金风险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财务（拟）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CEO+董事会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附录B：相关文档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团队应急方案：D:/AFAC2026金融智能创新大赛/quantinsight-deploy/QuantInsight</w:t>
      </w:r>
      <w:r>
        <w:rPr>
          <w:rFonts w:ascii="微软雅黑" w:hAnsi="微软雅黑" w:eastAsia="微软雅黑"/>
          <w:b w:val="0"/>
          <w:i/>
          <w:sz w:val="21"/>
        </w:rPr>
        <w:t>Pro</w:t>
      </w:r>
      <w:r>
        <w:rPr>
          <w:rFonts w:ascii="微软雅黑" w:hAnsi="微软雅黑" w:eastAsia="微软雅黑"/>
          <w:b w:val="0"/>
          <w:i w:val="0"/>
          <w:sz w:val="21"/>
        </w:rPr>
        <w:t>Team</w:t>
      </w:r>
      <w:r>
        <w:rPr>
          <w:rFonts w:ascii="微软雅黑" w:hAnsi="微软雅黑" w:eastAsia="微软雅黑"/>
          <w:b w:val="0"/>
          <w:i/>
          <w:sz w:val="21"/>
        </w:rPr>
        <w:t>Compliance</w:t>
      </w:r>
      <w:r>
        <w:rPr>
          <w:rFonts w:ascii="微软雅黑" w:hAnsi="微软雅黑" w:eastAsia="微软雅黑"/>
          <w:b w:val="0"/>
          <w:i w:val="0"/>
          <w:sz w:val="21"/>
        </w:rPr>
        <w:t>DR_V1.md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客户验证证据包：D:/AFAC2026金融智能创新大赛/quantinsight-deploy/QuantInsight</w:t>
      </w:r>
      <w:r>
        <w:rPr>
          <w:rFonts w:ascii="微软雅黑" w:hAnsi="微软雅黑" w:eastAsia="微软雅黑"/>
          <w:b w:val="0"/>
          <w:i/>
          <w:sz w:val="21"/>
        </w:rPr>
        <w:t>Pro</w:t>
      </w:r>
      <w:r>
        <w:rPr>
          <w:rFonts w:ascii="微软雅黑" w:hAnsi="微软雅黑" w:eastAsia="微软雅黑"/>
          <w:b w:val="0"/>
          <w:i w:val="0"/>
          <w:sz w:val="21"/>
        </w:rPr>
        <w:t>客户验证证据包_V1.md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财务模型V2：D:/AFAC2026金融智能创新大赛/quantinsight-deploy/QuantInsight</w:t>
      </w:r>
      <w:r>
        <w:rPr>
          <w:rFonts w:ascii="微软雅黑" w:hAnsi="微软雅黑" w:eastAsia="微软雅黑"/>
          <w:b w:val="0"/>
          <w:i/>
          <w:sz w:val="21"/>
        </w:rPr>
        <w:t>Pro</w:t>
      </w:r>
      <w:r>
        <w:rPr>
          <w:rFonts w:ascii="微软雅黑" w:hAnsi="微软雅黑" w:eastAsia="微软雅黑"/>
          <w:b w:val="0"/>
          <w:i w:val="0"/>
          <w:sz w:val="21"/>
        </w:rPr>
        <w:t>财务模型V2.xlsx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营销获客漏斗：D:/AFAC2026金融智能创新大赛/quantinsight-deploy/QuantInsight</w:t>
      </w:r>
      <w:r>
        <w:rPr>
          <w:rFonts w:ascii="微软雅黑" w:hAnsi="微软雅黑" w:eastAsia="微软雅黑"/>
          <w:b w:val="0"/>
          <w:i/>
          <w:sz w:val="21"/>
        </w:rPr>
        <w:t>Pro</w:t>
      </w:r>
      <w:r>
        <w:rPr>
          <w:rFonts w:ascii="微软雅黑" w:hAnsi="微软雅黑" w:eastAsia="微软雅黑"/>
          <w:b w:val="0"/>
          <w:i w:val="0"/>
          <w:sz w:val="21"/>
        </w:rPr>
        <w:t>营销获客漏斗_V1.md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附录C：应急预案演练计划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演练类型</w:t>
            </w:r>
          </w:p>
        </w:tc>
        <w:tc>
          <w:tcPr>
            <w:tcW w:type="dxa" w:w="2266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频次</w:t>
            </w:r>
          </w:p>
        </w:tc>
        <w:tc>
          <w:tcPr>
            <w:tcW w:type="dxa" w:w="2266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责任人</w:t>
            </w:r>
          </w:p>
        </w:tc>
        <w:tc>
          <w:tcPr>
            <w:tcW w:type="dxa" w:w="2266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目标</w:t>
            </w:r>
          </w:p>
        </w:tc>
      </w:tr>
      <w:tr>
        <w:tc>
          <w:tcPr>
            <w:tcW w:type="dxa" w:w="2266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数据fallback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月度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CTO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5min内切换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系统切换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季度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CTO+运维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30min内恢复</w:t>
            </w:r>
          </w:p>
        </w:tc>
      </w:tr>
      <w:tr>
        <w:tc>
          <w:tcPr>
            <w:tcW w:type="dxa" w:w="2266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合规审计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半年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CSO+法务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0问题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客户应急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季度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CSM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24h响应</w:t>
            </w:r>
          </w:p>
        </w:tc>
      </w:tr>
      <w:tr>
        <w:tc>
          <w:tcPr>
            <w:tcW w:type="dxa" w:w="2266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资金压力测试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半年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CFO（拟）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12月运营</w:t>
            </w:r>
          </w:p>
        </w:tc>
      </w:tr>
    </w:tbl>
    <w:p/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【5大风险+应急预案V2文档完】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编者按：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5大风险+5套预案+5层资金安全垫——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这不是"事后补救"，而是"事前规划"。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评委问风险时，我们不是简单回答，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而是展现完整的风险管理能力——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这是冠军级别创业者的成熟。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