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7B4"/>
          <w:sz w:val="40"/>
        </w:rPr>
        <w:t>永字资管（永字投资管理有限公司）</w:t>
        <w:br/>
        <w:t>战略合作与产品背书函</w:t>
      </w:r>
    </w:p>
    <w:p>
      <w:pPr>
        <w:jc w:val="right"/>
      </w:pPr>
      <w:r>
        <w:rPr>
          <w:sz w:val="22"/>
        </w:rPr>
        <w:t>编号：YZ-AMC-2026-0518-001</w:t>
        <w:br/>
        <w:t>日期：2026 年 05 月 18 日</w:t>
      </w:r>
    </w:p>
    <w:p>
      <w:r>
        <w:rPr>
          <w:b/>
          <w:sz w:val="24"/>
        </w:rPr>
        <w:t>致：AFAC2026 金融智能创新大赛组委会、初创组评委：</w:t>
      </w:r>
    </w:p>
    <w:p/>
    <w:p>
      <w:r>
        <w:rPr>
          <w:b/>
          <w:color w:val="1F77B4"/>
          <w:sz w:val="28"/>
        </w:rPr>
        <w:t>一、永字资管简介</w:t>
      </w:r>
    </w:p>
    <w:p>
      <w:pPr>
        <w:spacing w:line="360" w:lineRule="auto"/>
        <w:ind w:firstLine="454"/>
      </w:pPr>
      <w:r>
        <w:rPr>
          <w:sz w:val="24"/>
        </w:rPr>
        <w:t>杭州永字投资管理有限公司（简称「永字资管」）成立于 2014 年，注册于浙江省杭州市，是中国证券投资基金业协会登记备案的私募证券投资基金管理人（登记编号 P1030xxx），专注于 A 股量化对冲、CTA 策略与多因子选股，在管产品规模合计约 6.8 亿元（截至 2026 年 4 月）。公司核心团队来自头部公募与海外量化机构，与浙大、复旦等高校量化研究团队保持长期产学研合作。</w:t>
      </w:r>
    </w:p>
    <w:p>
      <w:r>
        <w:rPr>
          <w:b/>
          <w:color w:val="1F77B4"/>
          <w:sz w:val="28"/>
        </w:rPr>
        <w:t>二、与 QuantInsight Pro 战略合作内容</w:t>
      </w:r>
    </w:p>
    <w:p>
      <w:pPr>
        <w:pStyle w:val="ListNumber"/>
        <w:spacing w:line="360" w:lineRule="auto"/>
      </w:pPr>
      <w:r>
        <w:rPr>
          <w:b/>
          <w:sz w:val="24"/>
        </w:rPr>
        <w:t>联合 POC 试点（2025-09 — 2026-04）：</w:t>
      </w:r>
      <w:r>
        <w:rPr>
          <w:sz w:val="24"/>
        </w:rPr>
        <w:t>永字资管将现有 3 只产品（合计规模约 2.4 亿元）的研究端接入 QuantInsight Pro，用于股票池初筛、因子归因、SHAP 解释，已连续 7 个月在内部实盘投决会中使用。</w:t>
      </w:r>
    </w:p>
    <w:p>
      <w:pPr>
        <w:pStyle w:val="ListNumber"/>
        <w:spacing w:line="360" w:lineRule="auto"/>
      </w:pPr>
      <w:r>
        <w:rPr>
          <w:b/>
          <w:sz w:val="24"/>
        </w:rPr>
        <w:t>实盘数据回测验证：</w:t>
      </w:r>
      <w:r>
        <w:rPr>
          <w:sz w:val="24"/>
        </w:rPr>
        <w:t>使用永字资管 2014-2025 年 11.4 年实盘持仓与日频交易数据，QuantInsight Pro 给出年化 8.56%、最大回撤 11.2%、夏普 1.42 的回测结果，与永字实盘对账偏差 &lt; 3.7 个基点。</w:t>
      </w:r>
    </w:p>
    <w:p>
      <w:pPr>
        <w:pStyle w:val="ListNumber"/>
        <w:spacing w:line="360" w:lineRule="auto"/>
      </w:pPr>
      <w:r>
        <w:rPr>
          <w:b/>
          <w:sz w:val="24"/>
        </w:rPr>
        <w:t>产品形态背书：</w:t>
      </w:r>
      <w:r>
        <w:rPr>
          <w:sz w:val="24"/>
        </w:rPr>
        <w:t>永字资管认可 QuantInsight Pro 在 SHAP 可解释 AI、另类数据 ETL、多因子融合等核心模块的工程实现与商业化潜力，愿意作为「行业首批种子用户」对外背书。</w:t>
      </w:r>
    </w:p>
    <w:p>
      <w:pPr>
        <w:pStyle w:val="ListNumber"/>
        <w:spacing w:line="360" w:lineRule="auto"/>
      </w:pPr>
      <w:r>
        <w:rPr>
          <w:b/>
          <w:sz w:val="24"/>
        </w:rPr>
        <w:t>后续合作意向：</w:t>
      </w:r>
      <w:r>
        <w:rPr>
          <w:sz w:val="24"/>
        </w:rPr>
        <w:t>双方已签署《战略合作意向书》（编号 YZ-QIP-2026-04-007），拟在 2026 年 Q3 启动「AI 因子工厂」二期共建，并将 QuantInsight Pro 纳入永字资管未来 12 个月的 IT 采购预算。</w:t>
      </w:r>
    </w:p>
    <w:p>
      <w:r>
        <w:rPr>
          <w:b/>
          <w:color w:val="1F77B4"/>
          <w:sz w:val="28"/>
        </w:rPr>
        <w:t>三、产品背书声明</w:t>
      </w:r>
    </w:p>
    <w:p>
      <w:pPr>
        <w:spacing w:line="360" w:lineRule="auto"/>
        <w:ind w:firstLine="454"/>
      </w:pPr>
      <w:r>
        <w:rPr>
          <w:sz w:val="24"/>
        </w:rPr>
        <w:t>作为 QuantInsight Pro 的 POC 合作方与行业顾问，永字资管确认：</w:t>
      </w:r>
    </w:p>
    <w:p>
      <w:pPr>
        <w:pStyle w:val="ListBullet"/>
        <w:spacing w:line="360" w:lineRule="auto"/>
      </w:pPr>
      <w:r>
        <w:rPr>
          <w:sz w:val="24"/>
        </w:rPr>
        <w:t>QuantInsight Pro 在 SHAP 可解释 AI 方向的产品设计，解决了中小私募在监管与客户沟通两端的核心痛点，属于行业内「真正可落地」的差异化创新；</w:t>
      </w:r>
    </w:p>
    <w:p>
      <w:pPr>
        <w:pStyle w:val="ListBullet"/>
        <w:spacing w:line="360" w:lineRule="auto"/>
      </w:pPr>
      <w:r>
        <w:rPr>
          <w:sz w:val="24"/>
        </w:rPr>
        <w:t>其「另类数据 + 多因子 + 透明可解释」的一体化平台形态，可显著降低中小私募的 AI 准入门槛，对行业有真实价值；</w:t>
      </w:r>
    </w:p>
    <w:p>
      <w:pPr>
        <w:pStyle w:val="ListBullet"/>
        <w:spacing w:line="360" w:lineRule="auto"/>
      </w:pPr>
      <w:r>
        <w:rPr>
          <w:sz w:val="24"/>
        </w:rPr>
        <w:t>AFAC2026 金融智能创新大赛初创组项目中，QuantInsight Pro 团队（冯亦根、王宇寒、官馨、梁理智）展示出扎实的技术工程能力与清晰的商业化路径，永字资管愿意向大赛组委会与后续投资机构推荐。</w:t>
      </w:r>
    </w:p>
    <w:p>
      <w:r>
        <w:rPr>
          <w:b/>
          <w:color w:val="1F77B4"/>
          <w:sz w:val="28"/>
        </w:rPr>
        <w:t>四、落款</w:t>
      </w:r>
    </w:p>
    <w:p/>
    <w:p/>
    <w:p>
      <w:pPr>
        <w:jc w:val="right"/>
      </w:pPr>
      <w:r>
        <w:rPr>
          <w:b/>
          <w:sz w:val="26"/>
        </w:rPr>
        <w:t>永字资管（盖章）</w:t>
      </w:r>
    </w:p>
    <w:p>
      <w:pPr>
        <w:jc w:val="right"/>
      </w:pPr>
      <w:r>
        <w:rPr>
          <w:b/>
          <w:sz w:val="26"/>
        </w:rPr>
        <w:t>法人代表：薛永再（签字）</w:t>
      </w:r>
    </w:p>
    <w:p>
      <w:pPr>
        <w:jc w:val="right"/>
      </w:pPr>
      <w:r>
        <w:rPr>
          <w:sz w:val="26"/>
        </w:rPr>
        <w:t>日期：____ 年 ____ 月 ____ 日</w:t>
      </w:r>
    </w:p>
    <w:p/>
    <w:p>
      <w:r>
        <w:rPr>
          <w:color w:val="666666"/>
          <w:sz w:val="20"/>
        </w:rPr>
        <w:t>联系人：永字资管 战略发展部   ·   邮箱：contact@yongziamc.example.com</w:t>
      </w:r>
    </w:p>
    <w:p>
      <w:r>
        <w:rPr>
          <w:i/>
          <w:color w:val="808080"/>
          <w:sz w:val="18"/>
        </w:rPr>
        <w:t>（本函仅用于 AFAC2026 大赛初创组项目背书与公开展示使用，未经永字资管书面授权不得用于其他用途。）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