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A0E27"/>
          <w:sz w:val="48"/>
        </w:rPr>
        <w:t>QuantInsight Pro</w:t>
      </w:r>
    </w:p>
    <w:p>
      <w:pPr>
        <w:jc w:val="center"/>
      </w:pPr>
      <w:r>
        <w:rPr>
          <w:rFonts w:ascii="微软雅黑" w:hAnsi="微软雅黑" w:eastAsia="微软雅黑"/>
          <w:color w:val="00D4FF"/>
          <w:sz w:val="24"/>
        </w:rPr>
        <w:t>AI 驱动的另类数据量化投研平台 · AFAC2026 金融智能创新大赛 · 初创组</w:t>
      </w:r>
    </w:p>
    <w:p>
      <w:pPr>
        <w:jc w:val="center"/>
      </w:pPr>
      <w:r>
        <w:rPr>
          <w:color w:val="666666"/>
          <w:sz w:val="18"/>
        </w:rPr>
        <w:t>项目编号 2026FINTECH-FINT-0093 · AFAC 平台 ID 20260110040 · 2026年07月08日</w:t>
      </w:r>
    </w:p>
    <w:p/>
    <w:p>
      <w:pPr>
        <w:pStyle w:val="Heading1"/>
      </w:pPr>
      <w:r>
        <w:rPr>
          <w:rFonts w:ascii="微软雅黑" w:hAnsi="微软雅黑" w:eastAsia="微软雅黑"/>
          <w:color w:val="0A0E27"/>
        </w:rPr>
        <w:t>执行摘要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QuantInsight Pro 是面向专业机构投资者的新一代资管科技平台，业内首家将 SHAP 可解释性深度集成到 A 股智能选股流程。产品整合另类数据、AI 投研智能体与 MIT 开源回测引擎，为 9 类机构客户提供数据 + 模型 + 策略 + 合规的一站式智能投研解决方案。推荐单位杭州永字资产管理有限公司战略合作已签署，生产 Demo 已部署公网 HTTPS。</w:t>
      </w:r>
    </w:p>
    <w:p>
      <w:pPr>
        <w:pStyle w:val="Heading1"/>
      </w:pPr>
      <w:r>
        <w:rPr>
          <w:rFonts w:ascii="微软雅黑" w:hAnsi="微软雅黑" w:eastAsia="微软雅黑"/>
          <w:color w:val="0A0E27"/>
        </w:rPr>
        <w:t>参赛团队（4 人 · AFAC 平台注册）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417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134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3969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背景摘要</w:t>
            </w:r>
          </w:p>
        </w:tc>
        <w:tc>
          <w:tcPr>
            <w:tcW w:type="dxa" w:w="2268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1417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CEO / 主讲</w:t>
            </w:r>
          </w:p>
        </w:tc>
        <w:tc>
          <w:tcPr>
            <w:tcW w:type="dxa" w:w="113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冯亦根</w:t>
            </w:r>
          </w:p>
        </w:tc>
        <w:tc>
          <w:tcPr>
            <w:tcW w:type="dxa" w:w="3969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浙江大学计算机通信工程本科、亚洲城市大学硕士；慧点资本创始人，CFA；15+ 年金融科技投资经验。</w:t>
            </w:r>
          </w:p>
        </w:tc>
        <w:tc>
          <w:tcPr>
            <w:tcW w:type="dxa" w:w="226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战略、融资、BD、路演总负责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CTO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王宇寒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杭州电子科技大学软件工程专业 2022 级本科；平台架构与 AI 工程负责人。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技术架构、AI 模型、系统开发、生产部署</w:t>
            </w:r>
          </w:p>
        </w:tc>
      </w:tr>
      <w:tr>
        <w:tc>
          <w:tcPr>
            <w:tcW w:type="dxa" w:w="1417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产品 / 数据</w:t>
            </w:r>
          </w:p>
        </w:tc>
        <w:tc>
          <w:tcPr>
            <w:tcW w:type="dxa" w:w="113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官馨</w:t>
            </w:r>
          </w:p>
        </w:tc>
        <w:tc>
          <w:tcPr>
            <w:tcW w:type="dxa" w:w="3969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陕西师范大学人工智能专业大三；产品设计与客户研究。</w:t>
            </w:r>
          </w:p>
        </w:tc>
        <w:tc>
          <w:tcPr>
            <w:tcW w:type="dxa" w:w="226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数据策略、产品设计、客户研究、UX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AI / 量化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梁理智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河北科技大学；翼支付 AI 开发者，金融科技师（二级）证书。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量化策略、AI 金融科技落地、运营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0A0E27"/>
        </w:rPr>
        <w:t>核心功能模块（8 大模块）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567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1417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969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1417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Demo</w:t>
            </w:r>
          </w:p>
        </w:tc>
      </w:tr>
      <w:tr>
        <w:tc>
          <w:tcPr>
            <w:tcW w:type="dxa" w:w="567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</w:t>
            </w:r>
          </w:p>
        </w:tc>
        <w:tc>
          <w:tcPr>
            <w:tcW w:type="dxa" w:w="1417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智能选股</w:t>
            </w:r>
          </w:p>
        </w:tc>
        <w:tc>
          <w:tcPr>
            <w:tcW w:type="dxa" w:w="3969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17 因子综合评分 + Top10 推荐</w:t>
            </w:r>
          </w:p>
        </w:tc>
        <w:tc>
          <w:tcPr>
            <w:tcW w:type="dxa" w:w="1417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已上线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SHAP 解读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 类 SHAP 图 + 17 因子归因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业内独家</w:t>
            </w:r>
          </w:p>
        </w:tc>
      </w:tr>
      <w:tr>
        <w:tc>
          <w:tcPr>
            <w:tcW w:type="dxa" w:w="567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3</w:t>
            </w:r>
          </w:p>
        </w:tc>
        <w:tc>
          <w:tcPr>
            <w:tcW w:type="dxa" w:w="1417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AI 投研问答</w:t>
            </w:r>
          </w:p>
        </w:tc>
        <w:tc>
          <w:tcPr>
            <w:tcW w:type="dxa" w:w="3969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RAG 数据接地 + Qwen 解读 + 引用溯源</w:t>
            </w:r>
          </w:p>
        </w:tc>
        <w:tc>
          <w:tcPr>
            <w:tcW w:type="dxa" w:w="1417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已上线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4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量化策略回测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 策略 + 11.4 年 HS300 真实数据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开源引擎</w:t>
            </w:r>
          </w:p>
        </w:tc>
      </w:tr>
      <w:tr>
        <w:tc>
          <w:tcPr>
            <w:tcW w:type="dxa" w:w="567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5</w:t>
            </w:r>
          </w:p>
        </w:tc>
        <w:tc>
          <w:tcPr>
            <w:tcW w:type="dxa" w:w="1417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智能盯盘</w:t>
            </w:r>
          </w:p>
        </w:tc>
        <w:tc>
          <w:tcPr>
            <w:tcW w:type="dxa" w:w="3969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7×24 涨跌停预警 + 异动监控</w:t>
            </w:r>
          </w:p>
        </w:tc>
        <w:tc>
          <w:tcPr>
            <w:tcW w:type="dxa" w:w="1417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已上线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6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模拟交易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 股实时模拟 + 3 层 fallback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已上线</w:t>
            </w:r>
          </w:p>
        </w:tc>
      </w:tr>
      <w:tr>
        <w:tc>
          <w:tcPr>
            <w:tcW w:type="dxa" w:w="567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7</w:t>
            </w:r>
          </w:p>
        </w:tc>
        <w:tc>
          <w:tcPr>
            <w:tcW w:type="dxa" w:w="1417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自动报告</w:t>
            </w:r>
          </w:p>
        </w:tc>
        <w:tc>
          <w:tcPr>
            <w:tcW w:type="dxa" w:w="3969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 段式周报 + Word/PDF 导出</w:t>
            </w:r>
          </w:p>
        </w:tc>
        <w:tc>
          <w:tcPr>
            <w:tcW w:type="dxa" w:w="1417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已上线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8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实时数据看板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大盘卡片 + 北向资金热力图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V2 已上线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0A0E27"/>
        </w:rPr>
        <w:t>关键指标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701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5102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T35 多因子年化收益</w:t>
            </w:r>
          </w:p>
        </w:tc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8.56%</w:t>
            </w:r>
          </w:p>
        </w:tc>
        <w:tc>
          <w:tcPr>
            <w:tcW w:type="dxa" w:w="510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HS300 · 11.4 年 akshare 真实数据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夏普比率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0.63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相对买入持有超额 3.10%</w:t>
            </w:r>
          </w:p>
        </w:tc>
      </w:tr>
      <w:tr>
        <w:tc>
          <w:tcPr>
            <w:tcW w:type="dxa" w:w="226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最大回撤</w:t>
            </w:r>
          </w:p>
        </w:tc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-38.33%</w:t>
            </w:r>
          </w:p>
        </w:tc>
        <w:tc>
          <w:tcPr>
            <w:tcW w:type="dxa" w:w="510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较基准改善 33.97%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单元测试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21/21 PASS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回测引擎 7/7 + 数据管道 14/14</w:t>
            </w:r>
          </w:p>
        </w:tc>
      </w:tr>
      <w:tr>
        <w:tc>
          <w:tcPr>
            <w:tcW w:type="dxa" w:w="226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永字资管合作</w:t>
            </w:r>
          </w:p>
        </w:tc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战略合作已签署</w:t>
            </w:r>
          </w:p>
        </w:tc>
        <w:tc>
          <w:tcPr>
            <w:tcW w:type="dxa" w:w="510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推荐单位法定代表人薛永再 · 场外顾问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AFAC 自评分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88 / 100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初筛五维加权自评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051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e_key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5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66666"/>
          <w:sz w:val="18"/>
        </w:rPr>
        <w:t>图1 T35 回测核心指标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9391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e_strateg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39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66666"/>
          <w:sz w:val="18"/>
        </w:rPr>
        <w:t>图2 HS300 五策略回测对比（T35 修正）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867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e_team_or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6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66666"/>
          <w:sz w:val="18"/>
        </w:rPr>
        <w:t>图3 参赛团队组织架构</w:t>
      </w:r>
    </w:p>
    <w:p/>
    <w:p>
      <w:pPr>
        <w:pStyle w:val="Heading1"/>
      </w:pPr>
      <w:r>
        <w:rPr>
          <w:rFonts w:ascii="微软雅黑" w:hAnsi="微软雅黑" w:eastAsia="微软雅黑"/>
          <w:color w:val="0A0E27"/>
        </w:rPr>
        <w:t>访问与提交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 / URL</w:t>
            </w:r>
          </w:p>
        </w:tc>
      </w:tr>
      <w:tr>
        <w:tc>
          <w:tcPr>
            <w:tcW w:type="dxa" w:w="226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在线 Demo</w:t>
            </w:r>
          </w:p>
        </w:tc>
        <w:tc>
          <w:tcPr>
            <w:tcW w:type="dxa" w:w="680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https://3blue1brownlab.cn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GitHub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github.com/yigenfeng0707-netizen/quantinsight-pro</w:t>
            </w:r>
          </w:p>
        </w:tc>
      </w:tr>
      <w:tr>
        <w:tc>
          <w:tcPr>
            <w:tcW w:type="dxa" w:w="226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AFAC 控制台</w:t>
            </w:r>
          </w:p>
        </w:tc>
        <w:tc>
          <w:tcPr>
            <w:tcW w:type="dxa" w:w="680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https://afac.alipay.com/console/projects/20260110040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提交 ZIP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submission/QuantInsight_Pro_AFAC2026_提交包_20260708.zip</w:t>
            </w:r>
          </w:p>
        </w:tc>
      </w:tr>
      <w:tr>
        <w:tc>
          <w:tcPr>
            <w:tcW w:type="dxa" w:w="226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文档归档</w:t>
            </w:r>
          </w:p>
        </w:tc>
        <w:tc>
          <w:tcPr>
            <w:tcW w:type="dxa" w:w="680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archive/legacy_v1/（V1 过时材料，非提交依据）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0A0E27"/>
        </w:rPr>
        <w:t>submission/ 目录指南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402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5669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40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01_商业计划书_QuantInsight_Pro.md/.html</w:t>
            </w:r>
          </w:p>
        </w:tc>
        <w:tc>
          <w:tcPr>
            <w:tcW w:type="dxa" w:w="5669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AFAC 八章节商业计划书（权威）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02_Demo交付/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Demo 视频、运行指南、POC 数据、交互设计</w:t>
            </w:r>
          </w:p>
        </w:tc>
      </w:tr>
      <w:tr>
        <w:tc>
          <w:tcPr>
            <w:tcW w:type="dxa" w:w="340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03_正式文档_WORD/</w:t>
            </w:r>
          </w:p>
        </w:tc>
        <w:tc>
          <w:tcPr>
            <w:tcW w:type="dxa" w:w="5669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 份正式 Word 文档（规则对照、测试、FAQ 等）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04_测试报告/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单元测试与冒烟测试 JSON</w:t>
            </w:r>
          </w:p>
        </w:tc>
      </w:tr>
      <w:tr>
        <w:tc>
          <w:tcPr>
            <w:tcW w:type="dxa" w:w="340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05_团队信息一致性核查报告.md</w:t>
            </w:r>
          </w:p>
        </w:tc>
        <w:tc>
          <w:tcPr>
            <w:tcW w:type="dxa" w:w="5669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团队口径审计报告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06_文档归档说明.md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V1 文档归档与 README 位置说明</w:t>
            </w:r>
          </w:p>
        </w:tc>
      </w:tr>
      <w:tr>
        <w:tc>
          <w:tcPr>
            <w:tcW w:type="dxa" w:w="340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00_项目README_QuantInsight_Pro.docx/.html</w:t>
            </w:r>
          </w:p>
        </w:tc>
        <w:tc>
          <w:tcPr>
            <w:tcW w:type="dxa" w:w="5669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本文件 — 项目一页纸总览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QuantInsight_Pro_AFAC2026_提交包_*.zip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一键打包提交 ZIP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0A0E27"/>
        </w:rPr>
        <w:t>品牌色规范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色名</w:t>
            </w:r>
          </w:p>
        </w:tc>
        <w:tc>
          <w:tcPr>
            <w:tcW w:type="dxa" w:w="1701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Hex</w:t>
            </w:r>
          </w:p>
        </w:tc>
        <w:tc>
          <w:tcPr>
            <w:tcW w:type="dxa" w:w="5669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深空蓝</w:t>
            </w:r>
          </w:p>
        </w:tc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#0A0E27</w:t>
            </w:r>
          </w:p>
        </w:tc>
        <w:tc>
          <w:tcPr>
            <w:tcW w:type="dxa" w:w="5669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主背景 / 标题 / 表格表头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科技青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#00D4FF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强调色 / 链接 / 图表主色</w:t>
            </w:r>
          </w:p>
        </w:tc>
      </w:tr>
      <w:tr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琥珀金</w:t>
            </w:r>
          </w:p>
        </w:tc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#FFB800</w:t>
            </w:r>
          </w:p>
        </w:tc>
        <w:tc>
          <w:tcPr>
            <w:tcW w:type="dxa" w:w="5669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高亮 / 评分 / 次要图表</w:t>
            </w:r>
          </w:p>
        </w:tc>
      </w:tr>
    </w:tbl>
    <w:p/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联系人：冯亦根 ceo@3blue1brownlab.cn · 王宇寒 cto@3blue1brownlab.cn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