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生产级测试报告</w:t>
      </w:r>
    </w:p>
    <w:p>
      <w:pPr>
        <w:jc w:val="center"/>
      </w:pPr>
      <w:r>
        <w:rPr>
          <w:rFonts w:ascii="微软雅黑" w:hAnsi="微软雅黑" w:eastAsia="微软雅黑"/>
          <w:color w:val="00D4FF"/>
          <w:sz w:val="24"/>
        </w:rPr>
        <w:t>QuantInsight Pro · 交付前全量验证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2026年07月08日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一、测试环境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配置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生产 Demo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https://3blue1brownlab.cn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ECS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47.76.46.88 · CentOS 7.9 · Python 3.9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本地测试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Windows · pytest · streamlit_app/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测试日期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2026-07-08 11:58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AFAC 平台项目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20260110040 (https://afac.alipay.com/console/projects/20260110040)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二、自动化测试结果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340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测试套件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用例数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通过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340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test_backtest_engine.py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test_data_pipeline.py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</w:t>
            </w:r>
          </w:p>
        </w:tc>
      </w:tr>
      <w:tr>
        <w:tc>
          <w:tcPr>
            <w:tcW w:type="dxa" w:w="340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pytest 合计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21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21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</w:t>
            </w:r>
          </w:p>
        </w:tc>
      </w:tr>
    </w:tbl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pytest 输出摘要：.....................                                                    [100%]</w:t>
        <w:br/>
        <w:t>21 passed in 5.23s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三、生产健康检查项</w:t>
      </w:r>
    </w:p>
    <w:p>
      <w:pPr>
        <w:pStyle w:val="ListBullet"/>
      </w:pPr>
      <w:r>
        <w:rPr>
          <w:rFonts w:ascii="微软雅黑" w:hAnsi="微软雅黑" w:eastAsia="微软雅黑"/>
          <w:b/>
        </w:rPr>
        <w:t>Streamlit 健康端点：</w:t>
      </w:r>
      <w:r>
        <w:rPr>
          <w:rFonts w:ascii="微软雅黑" w:hAnsi="微软雅黑" w:eastAsia="微软雅黑"/>
        </w:rPr>
        <w:t>/_stcore/health → ok</w:t>
      </w:r>
    </w:p>
    <w:p>
      <w:pPr>
        <w:pStyle w:val="ListBullet"/>
      </w:pPr>
      <w:r>
        <w:rPr>
          <w:rFonts w:ascii="微软雅黑" w:hAnsi="微软雅黑" w:eastAsia="微软雅黑"/>
          <w:b/>
        </w:rPr>
        <w:t>Nginx 反向代理：</w:t>
      </w:r>
      <w:r>
        <w:rPr>
          <w:rFonts w:ascii="微软雅黑" w:hAnsi="微软雅黑" w:eastAsia="微软雅黑"/>
        </w:rPr>
        <w:t>443 → 8501</w:t>
      </w:r>
    </w:p>
    <w:p>
      <w:pPr>
        <w:pStyle w:val="ListBullet"/>
      </w:pPr>
      <w:r>
        <w:rPr>
          <w:rFonts w:ascii="微软雅黑" w:hAnsi="微软雅黑" w:eastAsia="微软雅黑"/>
          <w:b/>
        </w:rPr>
        <w:t>systemd 自启动：</w:t>
      </w:r>
      <w:r>
        <w:rPr>
          <w:rFonts w:ascii="微软雅黑" w:hAnsi="微软雅黑" w:eastAsia="微软雅黑"/>
        </w:rPr>
        <w:t>quantinsight.service enabled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管理员引导：</w:t>
      </w:r>
      <w:r>
        <w:rPr>
          <w:rFonts w:ascii="微软雅黑" w:hAnsi="微软雅黑" w:eastAsia="微软雅黑"/>
        </w:rPr>
        <w:t>admin.bootstrap_admin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回测引擎：</w:t>
      </w:r>
      <w:r>
        <w:rPr>
          <w:rFonts w:ascii="微软雅黑" w:hAnsi="微软雅黑" w:eastAsia="微软雅黑"/>
        </w:rPr>
        <w:t>MIT License · T35 修正指标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四、POC 回测核心指标（T35 修正）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多因子策略</w:t>
            </w:r>
          </w:p>
        </w:tc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买入持有基准</w:t>
            </w:r>
          </w:p>
        </w:tc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超额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年化收益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8.56%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5.46%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+3.1%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夏普比率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0.63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0.35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最大回撤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-38.33%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-72.3%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改善33.97%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回测区间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2015-01-01 ~ 2026-06-05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11.4年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akshare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391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strategy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9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66666"/>
          <w:sz w:val="18"/>
        </w:rPr>
        <w:t>图1 HS300 五策略回测对比（T35 修正）</w:t>
      </w:r>
    </w:p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注：T30 早期报告多因子年化 19.22% 为引擎 bug，T35 已修正为 8.56%，以 t35_hs300_summary.json 为准。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