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Executive Summary</w:t>
      </w:r>
    </w:p>
    <w:p>
      <w:pPr>
        <w:jc w:val="center"/>
      </w:pPr>
      <w:r>
        <w:rPr>
          <w:rFonts w:ascii="微软雅黑" w:hAnsi="微软雅黑" w:eastAsia="微软雅黑"/>
          <w:color w:val="00D4FF"/>
          <w:sz w:val="24"/>
        </w:rPr>
        <w:t>一页纸 · QuantInsight Pro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2026年07月08日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项目定位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QuantInsight Pro 是面向专业机构投资者的新一代资管科技平台，业内首家将 SHAP 可解释性深度集成到 A 股智能选股流程，整合另类数据、AI 投研智能体与 MIT 开源回测引擎。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核心价值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680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量化价值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投研效率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智能选股 + AI 问答，效率提升 65%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可解释性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17 因子 SHAP 归因，满足算法备案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回测验证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HS300 11.4 年，多因子年化 8.56%，夏普 0.63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商业落地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永字资管战略合作已签署，9 类机构 SaaS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团队与融资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669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背景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CEO/主讲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  <w:tc>
          <w:tcPr>
            <w:tcW w:type="dxa" w:w="5669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浙大计算机通信工程本科、亚城大硕士 · 慧点资本创始人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CTO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王宇寒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杭电软件工程专业 2022级本科 · 架构与 AI 工程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产品/数据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官馨</w:t>
            </w:r>
          </w:p>
        </w:tc>
        <w:tc>
          <w:tcPr>
            <w:tcW w:type="dxa" w:w="5669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陕师大人工智能专业大三 · 数据与 UX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量化/运营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梁理智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翼支付 AI 开发者 · 金融科技师二级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推荐单位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薛永再</w:t>
            </w:r>
          </w:p>
        </w:tc>
        <w:tc>
          <w:tcPr>
            <w:tcW w:type="dxa" w:w="5669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杭州永字资管法定代表人 · 场外顾问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86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team_or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6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66666"/>
          <w:sz w:val="18"/>
        </w:rPr>
        <w:t>图1 参赛团队组织架构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联系方式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Demo：https://3blue1brownlab.cn · GitHub：yigenfeng0707-netizen/quantinsight-pro</w:t>
        <w:br/>
        <w:t>冯亦根 ceo@3blue1brownlab.cn · 王宇寒 cto@3blue1brownlab.cn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