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0A0E27"/>
          <w:sz w:val="44"/>
        </w:rPr>
        <w:t>评委 FAQ 手册</w:t>
      </w:r>
    </w:p>
    <w:p>
      <w:pPr>
        <w:jc w:val="center"/>
      </w:pPr>
      <w:r>
        <w:rPr>
          <w:rFonts w:ascii="微软雅黑" w:hAnsi="微软雅黑" w:eastAsia="微软雅黑"/>
          <w:color w:val="00D4FF"/>
          <w:sz w:val="24"/>
        </w:rPr>
        <w:t>10 问 10 答 · 路演答辩预设</w:t>
      </w:r>
    </w:p>
    <w:p>
      <w:pPr>
        <w:jc w:val="center"/>
      </w:pPr>
      <w:r>
        <w:rPr>
          <w:color w:val="666666"/>
          <w:sz w:val="18"/>
        </w:rPr>
        <w:t>项目编号 2026FINTECH-FINT-0093 · AFAC2026 初创组 · 2026年07月08日</w:t>
      </w:r>
    </w:p>
    <w:p/>
    <w:p>
      <w:pPr>
        <w:pStyle w:val="Heading2"/>
      </w:pPr>
      <w:r>
        <w:rPr>
          <w:rFonts w:ascii="微软雅黑" w:hAnsi="微软雅黑" w:eastAsia="微软雅黑"/>
          <w:color w:val="00D4FF"/>
        </w:rPr>
        <w:t>Q1. 与 Wind/同花顺的差异？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聚焦中小私募长尾 + SHAP 可解释 AI + 另类数据融合；Wind 偏数据终端，我们是一站式投研决策平台。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Q2. 回测 8.56% 是否过拟合？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T35 引擎修正后基于 HS300 成分股 11.4 年 akshare 真实数据；含交易成本；单元测试 21/21 通过。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Q3. SHAP 的技术实现？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XGBoost 多因子模型 + shap 库 Summary/Force Plot；每只股票决策可追溯至 17 因子贡献。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Q4. 数据合规性？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多源备份 + 来源标签；Demo 模式标注 Mock 来源；满足算法备案可解释性要求。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Q5. 永字资管合作真实性？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推荐单位法定代表人薛永再，战略合作已签署；提供 POC 试点与行业背书。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Q6. AI 幻觉如何控制？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RAG 数据接地 + 每条结论带来源引用 + 合规审计日志可视化。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Q7. 商业模式？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SaaS 订阅 + 私有化部署 + 监管沙盒；9 类机构分层定价。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Q8. 团队为何 4 人？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AFAC 平台注册 4 名参赛队员；薛永再为推荐单位顾问非队员。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Q9. 开源策略？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回测引擎 MIT 开源；核心因子与 SHAP 集成闭源 SaaS。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Q10. 社会价值？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降低中小机构投研门槛；养老/普惠金融场景；算法透明化。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