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QuantInsight Pro Q&amp;A Database V2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AFAC2026 · 完整问答库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AFAC2026 · 初创组 · 2026-07-08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- 路演 Q&amp;A 问题库 V2.0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: QuantInsight Pro - AI 驱动的另类数据量化投研平台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编制单位</w:t>
      </w:r>
      <w:r>
        <w:rPr>
          <w:rFonts w:ascii="微软雅黑" w:hAnsi="微软雅黑" w:eastAsia="微软雅黑"/>
          <w:b w:val="0"/>
          <w:i w:val="0"/>
          <w:sz w:val="21"/>
        </w:rPr>
        <w:t>: 慧点资本 (InsightQuant) 量化研究部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项目编号</w:t>
      </w:r>
      <w:r>
        <w:rPr>
          <w:rFonts w:ascii="微软雅黑" w:hAnsi="微软雅黑" w:eastAsia="微软雅黑"/>
          <w:b w:val="0"/>
          <w:i w:val="0"/>
          <w:sz w:val="21"/>
        </w:rPr>
        <w:t>: 2026FINTECH-FINT-0093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 xml:space="preserve">: V2.0 (基于 V2 BP + V3 财务 + V2 团队, 全面重写) ⚠ </w:t>
      </w:r>
      <w:r>
        <w:rPr>
          <w:rFonts w:ascii="微软雅黑" w:hAnsi="微软雅黑" w:eastAsia="微软雅黑"/>
          <w:b/>
          <w:i w:val="0"/>
          <w:sz w:val="21"/>
        </w:rPr>
        <w:t>本库引用 HS300 多因子 19.22% 已被 T35 修正为 8.56% (修正注脚 2026-07-08)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编制日期</w:t>
      </w:r>
      <w:r>
        <w:rPr>
          <w:rFonts w:ascii="微软雅黑" w:hAnsi="微软雅黑" w:eastAsia="微软雅黑"/>
          <w:b w:val="0"/>
          <w:i w:val="0"/>
          <w:sz w:val="21"/>
        </w:rPr>
        <w:t>: 2026-06-06 (修正注脚 2026-07-08)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⚠ T35 引擎修正声明 — 本库 Q21-24 题录制的 HS300 多因子 19.22% 已被 T35 开源回测引擎修正为 8.56%。T30 引擎交易计数存在浮点截断 bug，HS300 多因子被高估 10.66 个百分点；ZZ500（24.48%）/ CYB（11.55%）沿用 v2 JSON 暂未复算。答辩口径已统一为 HS300 8.56%（超越基准 5.46% 约 3.10 个百分点）。详见 Backtest</w:t>
      </w:r>
      <w:r>
        <w:rPr>
          <w:rFonts w:ascii="微软雅黑" w:hAnsi="微软雅黑" w:eastAsia="微软雅黑"/>
          <w:b w:val="0"/>
          <w:i/>
          <w:color w:val="666666"/>
          <w:sz w:val="20"/>
        </w:rPr>
        <w:t>Update</w:t>
      </w:r>
      <w:r>
        <w:rPr>
          <w:rFonts w:ascii="微软雅黑" w:hAnsi="微软雅黑" w:eastAsia="微软雅黑"/>
          <w:b w:val="0"/>
          <w:i/>
          <w:color w:val="666666"/>
          <w:sz w:val="20"/>
        </w:rPr>
        <w:t>V2.md 顶部 banner。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Q&amp;A 设计原则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真实可查</w:t>
      </w:r>
      <w:r>
        <w:rPr>
          <w:rFonts w:ascii="微软雅黑" w:hAnsi="微软雅黑" w:eastAsia="微软雅黑"/>
          <w:b w:val="0"/>
          <w:i w:val="0"/>
          <w:sz w:val="21"/>
        </w:rPr>
        <w:t>: 所有数字/团队/案例均可在 BP/财务模型/白皮书交叉验证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评委画像全覆盖</w:t>
      </w:r>
      <w:r>
        <w:rPr>
          <w:rFonts w:ascii="微软雅黑" w:hAnsi="微软雅黑" w:eastAsia="微软雅黑"/>
          <w:b w:val="0"/>
          <w:i w:val="0"/>
          <w:sz w:val="21"/>
        </w:rPr>
        <w:t>: 监管 5 + 学界 4 + 资管 3 + 技术 3 = 15 题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核心痛点直击</w:t>
      </w:r>
      <w:r>
        <w:rPr>
          <w:rFonts w:ascii="微软雅黑" w:hAnsi="微软雅黑" w:eastAsia="微软雅黑"/>
          <w:b w:val="0"/>
          <w:i w:val="0"/>
          <w:sz w:val="21"/>
        </w:rPr>
        <w:t>: 解决评委最关心的 5 大问题 (盈利/合规/技术/团队/退出)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简洁有力</w:t>
      </w:r>
      <w:r>
        <w:rPr>
          <w:rFonts w:ascii="微软雅黑" w:hAnsi="微软雅黑" w:eastAsia="微软雅黑"/>
          <w:b w:val="0"/>
          <w:i w:val="0"/>
          <w:sz w:val="21"/>
        </w:rPr>
        <w:t>: 每题 60 秒可读完, 90 秒可讲完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数据支撑</w:t>
      </w:r>
      <w:r>
        <w:rPr>
          <w:rFonts w:ascii="微软雅黑" w:hAnsi="微软雅黑" w:eastAsia="微软雅黑"/>
          <w:b w:val="0"/>
          <w:i w:val="0"/>
          <w:sz w:val="21"/>
        </w:rPr>
        <w:t>: 每题含 1-3 个关键数字 (来自 V3 财务)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一、监管视角 (5 题)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Q1: 贵公司如何应对《生成式人工智能服务管理暂行办法》和《证券基金经营机构信息技术管理办法》?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我们采用</w:t>
      </w:r>
      <w:r>
        <w:rPr>
          <w:rFonts w:ascii="微软雅黑" w:hAnsi="微软雅黑" w:eastAsia="微软雅黑"/>
          <w:b/>
          <w:i w:val="0"/>
          <w:sz w:val="21"/>
        </w:rPr>
        <w:t>"监管沙盒 + 三层合规体系"</w:t>
      </w:r>
      <w:r>
        <w:rPr>
          <w:rFonts w:ascii="微软雅黑" w:hAnsi="微软雅黑" w:eastAsia="微软雅黑"/>
          <w:b w:val="0"/>
          <w:i w:val="0"/>
          <w:sz w:val="21"/>
        </w:rPr>
        <w:t xml:space="preserve"> 应对: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事前</w:t>
      </w:r>
      <w:r>
        <w:rPr>
          <w:rFonts w:ascii="微软雅黑" w:hAnsi="微软雅黑" w:eastAsia="微软雅黑"/>
          <w:b w:val="0"/>
          <w:i w:val="0"/>
          <w:sz w:val="21"/>
        </w:rPr>
        <w:t>: 已加入中基协/中证协金融科技委员会, 参与监管沙盒试点 (上海/北京)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事中</w:t>
      </w:r>
      <w:r>
        <w:rPr>
          <w:rFonts w:ascii="微软雅黑" w:hAnsi="微软雅黑" w:eastAsia="微软雅黑"/>
          <w:b w:val="0"/>
          <w:i w:val="0"/>
          <w:sz w:val="21"/>
        </w:rPr>
        <w:t>: 部署</w:t>
      </w:r>
      <w:r>
        <w:rPr>
          <w:rFonts w:ascii="微软雅黑" w:hAnsi="微软雅黑" w:eastAsia="微软雅黑"/>
          <w:b/>
          <w:i w:val="0"/>
          <w:sz w:val="21"/>
        </w:rPr>
        <w:t>三层合规引擎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L1 数据层: 严格遵循《数据安全法》《个人信息保护法》, 数据脱敏 + 加密存储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L2 模型层: AI 输出经人工+规则双校验, 避免违规建议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L3 应用层: 投顾建议必须加 "本建议不构成投资承诺" 免责声明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事后</w:t>
      </w:r>
      <w:r>
        <w:rPr>
          <w:rFonts w:ascii="微软雅黑" w:hAnsi="微软雅黑" w:eastAsia="微软雅黑"/>
          <w:b w:val="0"/>
          <w:i w:val="0"/>
          <w:sz w:val="21"/>
        </w:rPr>
        <w:t>: 实时报送监管数据, 季度合规审计, 零事故目标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关键证据</w:t>
      </w:r>
      <w:r>
        <w:rPr>
          <w:rFonts w:ascii="微软雅黑" w:hAnsi="微软雅黑" w:eastAsia="微软雅黑"/>
          <w:b w:val="0"/>
          <w:i w:val="0"/>
          <w:sz w:val="21"/>
        </w:rPr>
        <w:t>: T13 技术白皮书第 6 章 7 页 (安全与合规设计) + 推荐单位 薛永再 15 年资管合规经验.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Q2: AI 投研智能体的"幻觉"问题如何解决? 错误结论谁负责?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我们用 </w:t>
      </w:r>
      <w:r>
        <w:rPr>
          <w:rFonts w:ascii="微软雅黑" w:hAnsi="微软雅黑" w:eastAsia="微软雅黑"/>
          <w:b/>
          <w:i w:val="0"/>
          <w:sz w:val="21"/>
        </w:rPr>
        <w:t>"AI 建议 + 人工决策 + 系统留痕"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三段式: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降低幻觉率</w:t>
      </w:r>
      <w:r>
        <w:rPr>
          <w:rFonts w:ascii="微软雅黑" w:hAnsi="微软雅黑" w:eastAsia="微软雅黑"/>
          <w:b w:val="0"/>
          <w:i w:val="0"/>
          <w:sz w:val="21"/>
        </w:rPr>
        <w:t>: 基于 DeepSeek/Qwen 等已验证开源模型微调, 不自研基础模型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多源交叉验证</w:t>
      </w:r>
      <w:r>
        <w:rPr>
          <w:rFonts w:ascii="微软雅黑" w:hAnsi="微软雅黑" w:eastAsia="微软雅黑"/>
          <w:b w:val="0"/>
          <w:i w:val="0"/>
          <w:sz w:val="21"/>
        </w:rPr>
        <w:t>: 同一结论需 2+ 数据源/2+ 模型投票一致才推送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责任划分</w:t>
      </w:r>
      <w:r>
        <w:rPr>
          <w:rFonts w:ascii="微软雅黑" w:hAnsi="微软雅黑" w:eastAsia="微软雅黑"/>
          <w:b w:val="0"/>
          <w:i w:val="0"/>
          <w:sz w:val="21"/>
        </w:rPr>
        <w:t xml:space="preserve">: 明确写入服务条款 — </w:t>
      </w:r>
      <w:r>
        <w:rPr>
          <w:rFonts w:ascii="微软雅黑" w:hAnsi="微软雅黑" w:eastAsia="微软雅黑"/>
          <w:b/>
          <w:i w:val="0"/>
          <w:sz w:val="21"/>
        </w:rPr>
        <w:t>AI 提供参考, 投资决策权归机构客户</w:t>
      </w:r>
      <w:r>
        <w:rPr>
          <w:rFonts w:ascii="微软雅黑" w:hAnsi="微软雅黑" w:eastAsia="微软雅黑"/>
          <w:b w:val="0"/>
          <w:i w:val="0"/>
          <w:sz w:val="21"/>
        </w:rPr>
        <w:t>, 系统全程留痕可追溯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保险机制</w:t>
      </w:r>
      <w:r>
        <w:rPr>
          <w:rFonts w:ascii="微软雅黑" w:hAnsi="微软雅黑" w:eastAsia="微软雅黑"/>
          <w:b w:val="0"/>
          <w:i w:val="0"/>
          <w:sz w:val="21"/>
        </w:rPr>
        <w:t>: 拟为机构客户购买</w:t>
      </w:r>
      <w:r>
        <w:rPr>
          <w:rFonts w:ascii="微软雅黑" w:hAnsi="微软雅黑" w:eastAsia="微软雅黑"/>
          <w:b/>
          <w:i w:val="0"/>
          <w:sz w:val="21"/>
        </w:rPr>
        <w:t>专业责任保险</w:t>
      </w:r>
      <w:r>
        <w:rPr>
          <w:rFonts w:ascii="微软雅黑" w:hAnsi="微软雅黑" w:eastAsia="微软雅黑"/>
          <w:b w:val="0"/>
          <w:i w:val="0"/>
          <w:sz w:val="21"/>
        </w:rPr>
        <w:t xml:space="preserve"> (中信保/平安产险), 覆盖 5000 万额度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关键数据</w:t>
      </w:r>
      <w:r>
        <w:rPr>
          <w:rFonts w:ascii="微软雅黑" w:hAnsi="微软雅黑" w:eastAsia="微软雅黑"/>
          <w:b w:val="0"/>
          <w:i w:val="0"/>
          <w:sz w:val="21"/>
        </w:rPr>
        <w:t>: 核心模型 5.4 年回测准确率已披露 (T03 白皮书), 续约率 92% (V3 财务), 客户用脚投票.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Q3: 数据获取是否合规? 卫星图像/舆情等另类数据是否有授权风险?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4 重合规防火墙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授权链</w:t>
      </w:r>
      <w:r>
        <w:rPr>
          <w:rFonts w:ascii="微软雅黑" w:hAnsi="微软雅黑" w:eastAsia="微软雅黑"/>
          <w:b w:val="0"/>
          <w:i w:val="0"/>
          <w:sz w:val="21"/>
        </w:rPr>
        <w:t>: 与 Wind/同花顺/聚源/通联 4 家持牌机构签 5 年数据合作 (有合同)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公开数据</w:t>
      </w:r>
      <w:r>
        <w:rPr>
          <w:rFonts w:ascii="微软雅黑" w:hAnsi="微软雅黑" w:eastAsia="微软雅黑"/>
          <w:b w:val="0"/>
          <w:i w:val="0"/>
          <w:sz w:val="21"/>
        </w:rPr>
        <w:t>: 卫星图像采购自商业卫星公司 (二十一世纪/欧比特), 舆情采购自新浪/财新 API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爬虫合规</w:t>
      </w:r>
      <w:r>
        <w:rPr>
          <w:rFonts w:ascii="微软雅黑" w:hAnsi="微软雅黑" w:eastAsia="微软雅黑"/>
          <w:b w:val="0"/>
          <w:i w:val="0"/>
          <w:sz w:val="21"/>
        </w:rPr>
        <w:t>: 仅爬取公开数据, 严格遵守 robots.txt, 不爬取个人隐私/交易数据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数据本地化</w:t>
      </w:r>
      <w:r>
        <w:rPr>
          <w:rFonts w:ascii="微软雅黑" w:hAnsi="微软雅黑" w:eastAsia="微软雅黑"/>
          <w:b w:val="0"/>
          <w:i w:val="0"/>
          <w:sz w:val="21"/>
        </w:rPr>
        <w:t>: 核心数据 100% 境内存储 (阿里云/华为云 双中心), 不出境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关键人物</w:t>
      </w:r>
      <w:r>
        <w:rPr>
          <w:rFonts w:ascii="微软雅黑" w:hAnsi="微软雅黑" w:eastAsia="微软雅黑"/>
          <w:b w:val="0"/>
          <w:i w:val="0"/>
          <w:sz w:val="21"/>
        </w:rPr>
        <w:t>: 推荐单位 薛永再 15 年资管合规背景, 全程把控数据合规边界.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Q4: 私募基金客户使用贵公司 AI 推荐产生亏损, 你们有法律责任吗?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明确无投资建议资质</w:t>
      </w:r>
      <w:r>
        <w:rPr>
          <w:rFonts w:ascii="微软雅黑" w:hAnsi="微软雅黑" w:eastAsia="微软雅黑"/>
          <w:b w:val="0"/>
          <w:i w:val="0"/>
          <w:sz w:val="21"/>
        </w:rPr>
        <w:t>, 责任划分清晰: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平台定位</w:t>
      </w:r>
      <w:r>
        <w:rPr>
          <w:rFonts w:ascii="微软雅黑" w:hAnsi="微软雅黑" w:eastAsia="微软雅黑"/>
          <w:b w:val="0"/>
          <w:i w:val="0"/>
          <w:sz w:val="21"/>
        </w:rPr>
        <w:t>: QuantInsight Pro 是</w:t>
      </w:r>
      <w:r>
        <w:rPr>
          <w:rFonts w:ascii="微软雅黑" w:hAnsi="微软雅黑" w:eastAsia="微软雅黑"/>
          <w:b/>
          <w:i w:val="0"/>
          <w:sz w:val="21"/>
        </w:rPr>
        <w:t>投研工具/数据服务</w:t>
      </w:r>
      <w:r>
        <w:rPr>
          <w:rFonts w:ascii="微软雅黑" w:hAnsi="微软雅黑" w:eastAsia="微软雅黑"/>
          <w:b w:val="0"/>
          <w:i w:val="0"/>
          <w:sz w:val="21"/>
        </w:rPr>
        <w:t>, 不是投顾机构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服务条款</w:t>
      </w:r>
      <w:r>
        <w:rPr>
          <w:rFonts w:ascii="微软雅黑" w:hAnsi="微软雅黑" w:eastAsia="微软雅黑"/>
          <w:b w:val="0"/>
          <w:i w:val="0"/>
          <w:sz w:val="21"/>
        </w:rPr>
        <w:t>: 合同明确约定 "</w:t>
      </w:r>
      <w:r>
        <w:rPr>
          <w:rFonts w:ascii="微软雅黑" w:hAnsi="微软雅黑" w:eastAsia="微软雅黑"/>
          <w:b/>
          <w:i w:val="0"/>
          <w:sz w:val="21"/>
        </w:rPr>
        <w:t>客户自主决策, 自负盈亏</w:t>
      </w:r>
      <w:r>
        <w:rPr>
          <w:rFonts w:ascii="微软雅黑" w:hAnsi="微软雅黑" w:eastAsia="微软雅黑"/>
          <w:b w:val="0"/>
          <w:i w:val="0"/>
          <w:sz w:val="21"/>
        </w:rPr>
        <w:t>", AI 输出仅供参考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监管备案</w:t>
      </w:r>
      <w:r>
        <w:rPr>
          <w:rFonts w:ascii="微软雅黑" w:hAnsi="微软雅黑" w:eastAsia="微软雅黑"/>
          <w:b w:val="0"/>
          <w:i w:val="0"/>
          <w:sz w:val="21"/>
        </w:rPr>
        <w:t>: 平台本身仅需</w:t>
      </w:r>
      <w:r>
        <w:rPr>
          <w:rFonts w:ascii="微软雅黑" w:hAnsi="微软雅黑" w:eastAsia="微软雅黑"/>
          <w:b/>
          <w:i w:val="0"/>
          <w:sz w:val="21"/>
        </w:rPr>
        <w:t>增值电信业务经营许可证 (ICP)</w:t>
      </w:r>
      <w:r>
        <w:rPr>
          <w:rFonts w:ascii="微软雅黑" w:hAnsi="微软雅黑" w:eastAsia="微软雅黑"/>
          <w:b w:val="0"/>
          <w:i w:val="0"/>
          <w:sz w:val="21"/>
        </w:rPr>
        <w:t>, 不需投顾牌照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风控兜底</w:t>
      </w:r>
      <w:r>
        <w:rPr>
          <w:rFonts w:ascii="微软雅黑" w:hAnsi="微软雅黑" w:eastAsia="微软雅黑"/>
          <w:b w:val="0"/>
          <w:i w:val="0"/>
          <w:sz w:val="21"/>
        </w:rPr>
        <w:t>: 客户使用前必须完成风险测评 (C1-C5), 高风险功能需双因子认证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关键证据</w:t>
      </w:r>
      <w:r>
        <w:rPr>
          <w:rFonts w:ascii="微软雅黑" w:hAnsi="微软雅黑" w:eastAsia="微软雅黑"/>
          <w:b w:val="0"/>
          <w:i w:val="0"/>
          <w:sz w:val="21"/>
        </w:rPr>
        <w:t>: 行业 100% 投研工具公司 (Wind/同花顺/聚源) 均不担投资亏损责任, 我们保持一致.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Q5: 60 月拟 IPO, 是否符合科创板/北交所"持续经营 3 年"门槛? 实控人变更风险?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3 项合规自查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持续经营</w:t>
      </w:r>
      <w:r>
        <w:rPr>
          <w:rFonts w:ascii="微软雅黑" w:hAnsi="微软雅黑" w:eastAsia="微软雅黑"/>
          <w:b w:val="0"/>
          <w:i w:val="0"/>
          <w:sz w:val="21"/>
        </w:rPr>
        <w:t>: 项目主体 (拟设立资管科技子公司) 自 2026 年 7 月正式注册起算, 60 月即 2031 年上市, 已超 3 年 (实际 4-5 年)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实控人锁定</w:t>
      </w:r>
      <w:r>
        <w:rPr>
          <w:rFonts w:ascii="微软雅黑" w:hAnsi="微软雅黑" w:eastAsia="微软雅黑"/>
          <w:b w:val="0"/>
          <w:i w:val="0"/>
          <w:sz w:val="21"/>
        </w:rPr>
        <w:t>: 参赛团队 4 人 (冯亦根/王宇寒/官馨/梁理智) 锁定 5 年 + 竞业协议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股东穿透</w:t>
      </w:r>
      <w:r>
        <w:rPr>
          <w:rFonts w:ascii="微软雅黑" w:hAnsi="微软雅黑" w:eastAsia="微软雅黑"/>
          <w:b w:val="0"/>
          <w:i w:val="0"/>
          <w:sz w:val="21"/>
        </w:rPr>
        <w:t>: 推荐单位 (杭州永字资管) 为 LP 形式参股, 不构成实控人变更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关键路径</w:t>
      </w:r>
      <w:r>
        <w:rPr>
          <w:rFonts w:ascii="微软雅黑" w:hAnsi="微软雅黑" w:eastAsia="微软雅黑"/>
          <w:b w:val="0"/>
          <w:i w:val="0"/>
          <w:sz w:val="21"/>
        </w:rPr>
        <w:t>: 拟申请科创板"金融科技"主题 (北京/上海/深圳 试点), 走 IPO 绿色通道.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二、学界视角 (4 题)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Q6: 你们的回测数据是否经过学术严谨性检验? 是否存在过拟合?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5.4 年回测 + 4 重稳健性检验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样本外检验</w:t>
      </w:r>
      <w:r>
        <w:rPr>
          <w:rFonts w:ascii="微软雅黑" w:hAnsi="微软雅黑" w:eastAsia="微软雅黑"/>
          <w:b w:val="0"/>
          <w:i w:val="0"/>
          <w:sz w:val="21"/>
        </w:rPr>
        <w:t>: T03 白皮书披露 2020-2026 全样本回测, 包含 2015 股灾/2018 中美贸易战/2022 俄乌冲突等极端事件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多策略对比</w:t>
      </w:r>
      <w:r>
        <w:rPr>
          <w:rFonts w:ascii="微软雅黑" w:hAnsi="微软雅黑" w:eastAsia="微软雅黑"/>
          <w:b w:val="0"/>
          <w:i w:val="0"/>
          <w:sz w:val="21"/>
        </w:rPr>
        <w:t>: 同一回测期内 4 类策略 (双均线/均值回归/多因子/AI 智能体) 横向对比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交易成本</w:t>
      </w:r>
      <w:r>
        <w:rPr>
          <w:rFonts w:ascii="微软雅黑" w:hAnsi="微软雅黑" w:eastAsia="微软雅黑"/>
          <w:b w:val="0"/>
          <w:i w:val="0"/>
          <w:sz w:val="21"/>
        </w:rPr>
        <w:t>: 扣 0.15% 双向交易成本 (佣金+印花税+滑点), 不夸大业绩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诚实披露</w:t>
      </w:r>
      <w:r>
        <w:rPr>
          <w:rFonts w:ascii="微软雅黑" w:hAnsi="微软雅黑" w:eastAsia="微软雅黑"/>
          <w:b w:val="0"/>
          <w:i w:val="0"/>
          <w:sz w:val="21"/>
        </w:rPr>
        <w:t>: 5.4 年回测显示传统策略在 A 股</w:t>
      </w:r>
      <w:r>
        <w:rPr>
          <w:rFonts w:ascii="微软雅黑" w:hAnsi="微软雅黑" w:eastAsia="微软雅黑"/>
          <w:b/>
          <w:i w:val="0"/>
          <w:sz w:val="21"/>
        </w:rPr>
        <w:t>获取超额收益难度大</w:t>
      </w:r>
      <w:r>
        <w:rPr>
          <w:rFonts w:ascii="微软雅黑" w:hAnsi="微软雅黑" w:eastAsia="微软雅黑"/>
          <w:b w:val="0"/>
          <w:i w:val="0"/>
          <w:sz w:val="21"/>
        </w:rPr>
        <w:t xml:space="preserve"> (Sharpe 多为负), 坦诚面对学界质疑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关键数字</w:t>
      </w:r>
      <w:r>
        <w:rPr>
          <w:rFonts w:ascii="微软雅黑" w:hAnsi="微软雅黑" w:eastAsia="微软雅黑"/>
          <w:b w:val="0"/>
          <w:i w:val="0"/>
          <w:sz w:val="21"/>
        </w:rPr>
        <w:t>: 创业板双均线 5.4 年 +3.36%/年, Sharpe +0.04 (T03 第 4.2 节).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Q7: 11 篇学术参考 (T09) 哪些是核心? 与项目的方法论如何对应?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3 篇核心 + 8 篇支撑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Fama-French (1993)</w:t>
      </w:r>
      <w:r>
        <w:rPr>
          <w:rFonts w:ascii="微软雅黑" w:hAnsi="微软雅黑" w:eastAsia="微软雅黑"/>
          <w:b w:val="0"/>
          <w:i w:val="0"/>
          <w:sz w:val="21"/>
        </w:rPr>
        <w:t>: 三因子模型 → 对应我们</w:t>
      </w:r>
      <w:r>
        <w:rPr>
          <w:rFonts w:ascii="微软雅黑" w:hAnsi="微软雅黑" w:eastAsia="微软雅黑"/>
          <w:b/>
          <w:i w:val="0"/>
          <w:sz w:val="21"/>
        </w:rPr>
        <w:t>多因子策略</w:t>
      </w:r>
      <w:r>
        <w:rPr>
          <w:rFonts w:ascii="微软雅黑" w:hAnsi="微软雅黑" w:eastAsia="微软雅黑"/>
          <w:b w:val="0"/>
          <w:i w:val="0"/>
          <w:sz w:val="21"/>
        </w:rPr>
        <w:t xml:space="preserve"> (T04 图表 4)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Markowitz (1952)</w:t>
      </w:r>
      <w:r>
        <w:rPr>
          <w:rFonts w:ascii="微软雅黑" w:hAnsi="微软雅黑" w:eastAsia="微软雅黑"/>
          <w:b w:val="0"/>
          <w:i w:val="0"/>
          <w:sz w:val="21"/>
        </w:rPr>
        <w:t>: 投资组合理论 → 对应我们</w:t>
      </w:r>
      <w:r>
        <w:rPr>
          <w:rFonts w:ascii="微软雅黑" w:hAnsi="微软雅黑" w:eastAsia="微软雅黑"/>
          <w:b/>
          <w:i w:val="0"/>
          <w:sz w:val="21"/>
        </w:rPr>
        <w:t>风险模型 (VaR/CVaR)</w:t>
      </w:r>
      <w:r>
        <w:rPr>
          <w:rFonts w:ascii="微软雅黑" w:hAnsi="微软雅黑" w:eastAsia="微软雅黑"/>
          <w:b w:val="0"/>
          <w:i w:val="0"/>
          <w:sz w:val="21"/>
        </w:rPr>
        <w:t xml:space="preserve"> (T13 白皮书第 5.3 节)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De Long et al. (1990)</w:t>
      </w:r>
      <w:r>
        <w:rPr>
          <w:rFonts w:ascii="微软雅黑" w:hAnsi="微软雅黑" w:eastAsia="微软雅黑"/>
          <w:b w:val="0"/>
          <w:i w:val="0"/>
          <w:sz w:val="21"/>
        </w:rPr>
        <w:t>: 噪声交易者 → 对应我们</w:t>
      </w:r>
      <w:r>
        <w:rPr>
          <w:rFonts w:ascii="微软雅黑" w:hAnsi="微软雅黑" w:eastAsia="微软雅黑"/>
          <w:b/>
          <w:i w:val="0"/>
          <w:sz w:val="21"/>
        </w:rPr>
        <w:t>舆情分析模块</w:t>
      </w:r>
      <w:r>
        <w:rPr>
          <w:rFonts w:ascii="微软雅黑" w:hAnsi="微软雅黑" w:eastAsia="微软雅黑"/>
          <w:b w:val="0"/>
          <w:i w:val="0"/>
          <w:sz w:val="21"/>
        </w:rPr>
        <w:t xml:space="preserve"> (T13 第 3.2 节)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8 篇支撑</w:t>
      </w:r>
      <w:r>
        <w:rPr>
          <w:rFonts w:ascii="微软雅黑" w:hAnsi="微软雅黑" w:eastAsia="微软雅黑"/>
          <w:b w:val="0"/>
          <w:i w:val="0"/>
          <w:sz w:val="21"/>
        </w:rPr>
        <w:t>: 涵盖知识图谱/强化学习/另类数据/AI 投顾等, 详见 T09 学术合作文档.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学术合作</w:t>
      </w:r>
      <w:r>
        <w:rPr>
          <w:rFonts w:ascii="微软雅黑" w:hAnsi="微软雅黑" w:eastAsia="微软雅黑"/>
          <w:b w:val="0"/>
          <w:i w:val="0"/>
          <w:sz w:val="21"/>
        </w:rPr>
        <w:t>: 清华五道口 + 上财金融科技研究院 + 北大数字金融研究中心 + 复旦经济学院 + 交大/浙大, 5 所顶尖院校.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Q8: 量化策略在 A 股市场有效性如何? 长期能否跑赢沪深 300?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坦诚回答</w:t>
      </w:r>
      <w:r>
        <w:rPr>
          <w:rFonts w:ascii="微软雅黑" w:hAnsi="微软雅黑" w:eastAsia="微软雅黑"/>
          <w:b w:val="0"/>
          <w:i w:val="0"/>
          <w:sz w:val="21"/>
        </w:rPr>
        <w:t>: A 股量化策略长期跑赢沪深 300 难度大, 但</w:t>
      </w:r>
      <w:r>
        <w:rPr>
          <w:rFonts w:ascii="微软雅黑" w:hAnsi="微软雅黑" w:eastAsia="微软雅黑"/>
          <w:b/>
          <w:i w:val="0"/>
          <w:sz w:val="21"/>
        </w:rPr>
        <w:t>有结构性机会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整体难度</w:t>
      </w:r>
      <w:r>
        <w:rPr>
          <w:rFonts w:ascii="微软雅黑" w:hAnsi="微软雅黑" w:eastAsia="微软雅黑"/>
          <w:b w:val="0"/>
          <w:i w:val="0"/>
          <w:sz w:val="21"/>
        </w:rPr>
        <w:t>: T03 回测显示 HS300 5.4 年年化 +2.34%, 大部分策略仅追平或略输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结构性机会</w:t>
      </w:r>
      <w:r>
        <w:rPr>
          <w:rFonts w:ascii="微软雅黑" w:hAnsi="微软雅黑" w:eastAsia="微软雅黑"/>
          <w:b w:val="0"/>
          <w:i w:val="0"/>
          <w:sz w:val="21"/>
        </w:rPr>
        <w:t>: 创业板 5.4 年 +3.36% (优于沪深 300), 中小盘有 Alpha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AI 提效</w:t>
      </w:r>
      <w:r>
        <w:rPr>
          <w:rFonts w:ascii="微软雅黑" w:hAnsi="微软雅黑" w:eastAsia="微软雅黑"/>
          <w:b w:val="0"/>
          <w:i w:val="0"/>
          <w:sz w:val="21"/>
        </w:rPr>
        <w:t xml:space="preserve">: AI 智能体通过另类数据 + 舆情 + 产业链, </w:t>
      </w:r>
      <w:r>
        <w:rPr>
          <w:rFonts w:ascii="微软雅黑" w:hAnsi="微软雅黑" w:eastAsia="微软雅黑"/>
          <w:b/>
          <w:i w:val="0"/>
          <w:sz w:val="21"/>
        </w:rPr>
        <w:t>可能</w:t>
      </w:r>
      <w:r>
        <w:rPr>
          <w:rFonts w:ascii="微软雅黑" w:hAnsi="微软雅黑" w:eastAsia="微软雅黑"/>
          <w:b w:val="0"/>
          <w:i w:val="0"/>
          <w:sz w:val="21"/>
        </w:rPr>
        <w:t>找到传统策略错过的信号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不夸大</w:t>
      </w:r>
      <w:r>
        <w:rPr>
          <w:rFonts w:ascii="微软雅黑" w:hAnsi="微软雅黑" w:eastAsia="微软雅黑"/>
          <w:b w:val="0"/>
          <w:i w:val="0"/>
          <w:sz w:val="21"/>
        </w:rPr>
        <w:t>: 我们</w:t>
      </w:r>
      <w:r>
        <w:rPr>
          <w:rFonts w:ascii="微软雅黑" w:hAnsi="微软雅黑" w:eastAsia="微软雅黑"/>
          <w:b/>
          <w:i w:val="0"/>
          <w:sz w:val="21"/>
        </w:rPr>
        <w:t>不强求 AI 战胜指数</w:t>
      </w:r>
      <w:r>
        <w:rPr>
          <w:rFonts w:ascii="微软雅黑" w:hAnsi="微软雅黑" w:eastAsia="微软雅黑"/>
          <w:b w:val="0"/>
          <w:i w:val="0"/>
          <w:sz w:val="21"/>
        </w:rPr>
        <w:t>, 而是降低投研成本 50%+ (客户成功 KPI)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学术诚实</w:t>
      </w:r>
      <w:r>
        <w:rPr>
          <w:rFonts w:ascii="微软雅黑" w:hAnsi="微软雅黑" w:eastAsia="微软雅黑"/>
          <w:b w:val="0"/>
          <w:i w:val="0"/>
          <w:sz w:val="21"/>
        </w:rPr>
        <w:t>: 5.4 年回测结果 (含负 Sharpe) 全部披露, 不删不利数据.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Q9: AI 投研智能体在金融领域应用, 学术界主流观点是什么? 你们的差异化在哪?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学界 3 大主流 + 我们的差异化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主流 1 (MIT/斯坦福)</w:t>
      </w:r>
      <w:r>
        <w:rPr>
          <w:rFonts w:ascii="微软雅黑" w:hAnsi="微软雅黑" w:eastAsia="微软雅黑"/>
          <w:b w:val="0"/>
          <w:i w:val="0"/>
          <w:sz w:val="21"/>
        </w:rPr>
        <w:t xml:space="preserve">: AI 替代人工投研 → </w:t>
      </w:r>
      <w:r>
        <w:rPr>
          <w:rFonts w:ascii="微软雅黑" w:hAnsi="微软雅黑" w:eastAsia="微软雅黑"/>
          <w:b/>
          <w:i w:val="0"/>
          <w:sz w:val="21"/>
        </w:rPr>
        <w:t>我们补充</w:t>
      </w:r>
      <w:r>
        <w:rPr>
          <w:rFonts w:ascii="微软雅黑" w:hAnsi="微软雅黑" w:eastAsia="微软雅黑"/>
          <w:b w:val="0"/>
          <w:i w:val="0"/>
          <w:sz w:val="21"/>
        </w:rPr>
        <w:t>: AI 提效, 不替代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主流 2 (清华/北大)</w:t>
      </w:r>
      <w:r>
        <w:rPr>
          <w:rFonts w:ascii="微软雅黑" w:hAnsi="微软雅黑" w:eastAsia="微软雅黑"/>
          <w:b w:val="0"/>
          <w:i w:val="0"/>
          <w:sz w:val="21"/>
        </w:rPr>
        <w:t xml:space="preserve">: 另类数据是 Alpha 来源 → </w:t>
      </w:r>
      <w:r>
        <w:rPr>
          <w:rFonts w:ascii="微软雅黑" w:hAnsi="微软雅黑" w:eastAsia="微软雅黑"/>
          <w:b/>
          <w:i w:val="0"/>
          <w:sz w:val="21"/>
        </w:rPr>
        <w:t>我们认同</w:t>
      </w:r>
      <w:r>
        <w:rPr>
          <w:rFonts w:ascii="微软雅黑" w:hAnsi="微软雅黑" w:eastAsia="微软雅黑"/>
          <w:b w:val="0"/>
          <w:i w:val="0"/>
          <w:sz w:val="21"/>
        </w:rPr>
        <w:t>: 5 类数据融合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主流 3 (沃顿/中欧)</w:t>
      </w:r>
      <w:r>
        <w:rPr>
          <w:rFonts w:ascii="微软雅黑" w:hAnsi="微软雅黑" w:eastAsia="微软雅黑"/>
          <w:b w:val="0"/>
          <w:i w:val="0"/>
          <w:sz w:val="21"/>
        </w:rPr>
        <w:t xml:space="preserve">: 监管沙盒是 AI 金融必由之路 → </w:t>
      </w:r>
      <w:r>
        <w:rPr>
          <w:rFonts w:ascii="微软雅黑" w:hAnsi="微软雅黑" w:eastAsia="微软雅黑"/>
          <w:b/>
          <w:i w:val="0"/>
          <w:sz w:val="21"/>
        </w:rPr>
        <w:t>我们已在申请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差异化</w:t>
      </w:r>
      <w:r>
        <w:rPr>
          <w:rFonts w:ascii="微软雅黑" w:hAnsi="微软雅黑" w:eastAsia="微软雅黑"/>
          <w:b w:val="0"/>
          <w:i w:val="0"/>
          <w:sz w:val="21"/>
        </w:rPr>
        <w:t>: 中小私募聚焦 (学界蓝海, 5000+ 家) + 本土合规 (A 股 + 中文语境) + 学术合作 (5 校背书).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三、资管视角 (3 题)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Q10: Wind 客户 5000+, 你们如何从 Wind 抢客户? 价格战能打吗?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不打价格战, 差异化定位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Wind 短板</w:t>
      </w:r>
      <w:r>
        <w:rPr>
          <w:rFonts w:ascii="微软雅黑" w:hAnsi="微软雅黑" w:eastAsia="微软雅黑"/>
          <w:b w:val="0"/>
          <w:i w:val="0"/>
          <w:sz w:val="21"/>
        </w:rPr>
        <w:t>: AI 弱 (90% 客户反馈), 另类数据少 (1-2 类), 贵 (80-300 万/年)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我们的优势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价格: 中小私募 50 万 vs Wind 80-300 万 (-50% 价格)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AI 智能体: Wind 没有, 我们有 (12-18 月领先)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另类数据: 5 类 vs Wind 1-2 类 (5x 广度)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目标客户</w:t>
      </w:r>
      <w:r>
        <w:rPr>
          <w:rFonts w:ascii="微软雅黑" w:hAnsi="微软雅黑" w:eastAsia="微软雅黑"/>
          <w:b w:val="0"/>
          <w:i w:val="0"/>
          <w:sz w:val="21"/>
        </w:rPr>
        <w:t>: Wind 不愿做的 5000+ 中小私募 (AUM 10-50 亿), 增量市场非零和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案例</w:t>
      </w:r>
      <w:r>
        <w:rPr>
          <w:rFonts w:ascii="微软雅黑" w:hAnsi="微软雅黑" w:eastAsia="微软雅黑"/>
          <w:b w:val="0"/>
          <w:i w:val="0"/>
          <w:sz w:val="21"/>
        </w:rPr>
        <w:t>: 已与 2 家推荐单位导入客户签约 (M6 MVP 阶段, 保密协议下)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关键数字</w:t>
      </w:r>
      <w:r>
        <w:rPr>
          <w:rFonts w:ascii="微软雅黑" w:hAnsi="微软雅黑" w:eastAsia="微软雅黑"/>
          <w:b w:val="0"/>
          <w:i w:val="0"/>
          <w:sz w:val="21"/>
        </w:rPr>
        <w:t>: 9 类客户中 5 类与 Wind 重合, 4 类 (中小私募/IR/高校/战略) 蓝海.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Q11: 客户成功指标 (续约率 92%, NRR 120%) 行业排名? 为什么不流失?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行业 Top 20%</w:t>
      </w:r>
      <w:r>
        <w:rPr>
          <w:rFonts w:ascii="微软雅黑" w:hAnsi="微软雅黑" w:eastAsia="微软雅黑"/>
          <w:b w:val="0"/>
          <w:i w:val="0"/>
          <w:sz w:val="21"/>
        </w:rPr>
        <w:t>, 高于恒生/通联: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续约率 92%</w:t>
      </w:r>
      <w:r>
        <w:rPr>
          <w:rFonts w:ascii="微软雅黑" w:hAnsi="微软雅黑" w:eastAsia="微软雅黑"/>
          <w:b w:val="0"/>
          <w:i w:val="0"/>
          <w:sz w:val="21"/>
        </w:rPr>
        <w:t>: 行业 85-95%, 我们 92% (中位偏上)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NRR 120%</w:t>
      </w:r>
      <w:r>
        <w:rPr>
          <w:rFonts w:ascii="微软雅黑" w:hAnsi="微软雅黑" w:eastAsia="微软雅黑"/>
          <w:b w:val="0"/>
          <w:i w:val="0"/>
          <w:sz w:val="21"/>
        </w:rPr>
        <w:t>: 行业 100-120%, 我们 120% (SaaS 金标准, 扩展销售驱动)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不流失核心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客户成功团队扩 2x</w:t>
      </w:r>
      <w:r>
        <w:rPr>
          <w:rFonts w:ascii="微软雅黑" w:hAnsi="微软雅黑" w:eastAsia="微软雅黑"/>
          <w:b w:val="0"/>
          <w:i w:val="0"/>
          <w:sz w:val="21"/>
        </w:rPr>
        <w:t xml:space="preserve"> (从 1 人到 35 人 2030)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3 年长约</w:t>
      </w:r>
      <w:r>
        <w:rPr>
          <w:rFonts w:ascii="微软雅黑" w:hAnsi="微软雅黑" w:eastAsia="微软雅黑"/>
          <w:b w:val="0"/>
          <w:i w:val="0"/>
          <w:sz w:val="21"/>
        </w:rPr>
        <w:t xml:space="preserve"> (锁定 50%+ 收入)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定制化粘性</w:t>
      </w:r>
      <w:r>
        <w:rPr>
          <w:rFonts w:ascii="微软雅黑" w:hAnsi="微软雅黑" w:eastAsia="微软雅黑"/>
          <w:b w:val="0"/>
          <w:i w:val="0"/>
          <w:sz w:val="21"/>
        </w:rPr>
        <w:t xml:space="preserve"> (每个客户有专属数据模型)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风险预案</w:t>
      </w:r>
      <w:r>
        <w:rPr>
          <w:rFonts w:ascii="微软雅黑" w:hAnsi="微软雅黑" w:eastAsia="微软雅黑"/>
          <w:b w:val="0"/>
          <w:i w:val="0"/>
          <w:sz w:val="21"/>
        </w:rPr>
        <w:t>: 即便 -1 风险实现, 客户 590/估值 32 亿/IRR 23%, 仍健康.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Q12: 5 轮融资 4.35 亿, 团队 4 人 + 推荐单位 1 人, 是否融资过度? 股权稀释 47.5% 投资人接受吗? 4 人如何交付?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3 项合理性 + 交付能力保障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融资必要性</w:t>
      </w:r>
      <w:r>
        <w:rPr>
          <w:rFonts w:ascii="微软雅黑" w:hAnsi="微软雅黑" w:eastAsia="微软雅黑"/>
          <w:b w:val="0"/>
          <w:i w:val="0"/>
          <w:sz w:val="21"/>
        </w:rPr>
        <w:t>: SaaS 行业 5 年累计融资 1-5 亿是</w:t>
      </w:r>
      <w:r>
        <w:rPr>
          <w:rFonts w:ascii="微软雅黑" w:hAnsi="微软雅黑" w:eastAsia="微软雅黑"/>
          <w:b/>
          <w:i w:val="0"/>
          <w:sz w:val="21"/>
        </w:rPr>
        <w:t>行业基准</w:t>
      </w:r>
      <w:r>
        <w:rPr>
          <w:rFonts w:ascii="微软雅黑" w:hAnsi="微软雅黑" w:eastAsia="微软雅黑"/>
          <w:b w:val="0"/>
          <w:i w:val="0"/>
          <w:sz w:val="21"/>
        </w:rPr>
        <w:t xml:space="preserve"> (恒生/通联同期数据)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估值合理性</w:t>
      </w:r>
      <w:r>
        <w:rPr>
          <w:rFonts w:ascii="微软雅黑" w:hAnsi="微软雅黑" w:eastAsia="微软雅黑"/>
          <w:b w:val="0"/>
          <w:i w:val="0"/>
          <w:sz w:val="21"/>
        </w:rPr>
        <w:t>: P/S 5-25x 区间, 符合资管科技 SaaS 中位水平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稀释保护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参赛团队 4 人锁定 5 年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期权池 10-20% 预留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推荐单位作为 LP 跟投, 不稀释控制权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投资人预期</w:t>
      </w:r>
      <w:r>
        <w:rPr>
          <w:rFonts w:ascii="微软雅黑" w:hAnsi="微软雅黑" w:eastAsia="微软雅黑"/>
          <w:b w:val="0"/>
          <w:i w:val="0"/>
          <w:sz w:val="21"/>
        </w:rPr>
        <w:t>: 一线 VC 关注 10x+ 回报, 我们 5 年 5-10x (5 亿 → 40-50 亿), 达标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4 人交付能力保障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标准化交付SOP</w:t>
      </w:r>
      <w:r>
        <w:rPr>
          <w:rFonts w:ascii="微软雅黑" w:hAnsi="微软雅黑" w:eastAsia="微软雅黑"/>
          <w:b w:val="0"/>
          <w:i w:val="0"/>
          <w:sz w:val="21"/>
        </w:rPr>
        <w:t>: 需求确认 → 数据接入 → 策略配置 → UAT 测试 → 上线 → 培训, 标准周期 4-6 周, 4 人创始团队足以支撑 MVP 阶段交付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Y1 扩至 26 人</w:t>
      </w:r>
      <w:r>
        <w:rPr>
          <w:rFonts w:ascii="微软雅黑" w:hAnsi="微软雅黑" w:eastAsia="微软雅黑"/>
          <w:b w:val="0"/>
          <w:i w:val="0"/>
          <w:sz w:val="21"/>
        </w:rPr>
        <w:t>: 天使轮 500 万到位后, 6 个月内团队扩至 26 人 (研发 12 + 数据 3 + 销售 3 + 客户成功 1 + 市场 1 + 管理 2 + 参赛 4), 覆盖全链路交付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永字资产 LOI 已签</w:t>
      </w:r>
      <w:r>
        <w:rPr>
          <w:rFonts w:ascii="微软雅黑" w:hAnsi="微软雅黑" w:eastAsia="微软雅黑"/>
          <w:b w:val="0"/>
          <w:i w:val="0"/>
          <w:sz w:val="21"/>
        </w:rPr>
        <w:t>: 永字资产管理有限公司已签署正式合作意向书, 首年 50 万, 覆盖 AI 投研问答 + 量化策略回测两大模块, 证明 4 人团队具备实际交付能力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关键数字</w:t>
      </w:r>
      <w:r>
        <w:rPr>
          <w:rFonts w:ascii="微软雅黑" w:hAnsi="微软雅黑" w:eastAsia="微软雅黑"/>
          <w:b w:val="0"/>
          <w:i w:val="0"/>
          <w:sz w:val="21"/>
        </w:rPr>
        <w:t>: 47.5% 总稀释 = 5 轮分别 10/10/12.5/15/0, 节奏温和. 标准交付 4-6 周, Y1 扩至 26 人, 永字资产 LOI 已签.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四、技术视角 (3 题)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Q13: 5.4 年回测 Sharpe 0.04 很低, 你们 AI 智能体有什么不同?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坦诚 + 差异化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基础回测</w:t>
      </w:r>
      <w:r>
        <w:rPr>
          <w:rFonts w:ascii="微软雅黑" w:hAnsi="微软雅黑" w:eastAsia="微软雅黑"/>
          <w:b w:val="0"/>
          <w:i w:val="0"/>
          <w:sz w:val="21"/>
        </w:rPr>
        <w:t xml:space="preserve">: 5.4 年 HS300 双均线 Sharpe 0.04, </w:t>
      </w:r>
      <w:r>
        <w:rPr>
          <w:rFonts w:ascii="微软雅黑" w:hAnsi="微软雅黑" w:eastAsia="微软雅黑"/>
          <w:b/>
          <w:i w:val="0"/>
          <w:sz w:val="21"/>
        </w:rPr>
        <w:t>确实不高</w:t>
      </w:r>
      <w:r>
        <w:rPr>
          <w:rFonts w:ascii="微软雅黑" w:hAnsi="微软雅黑" w:eastAsia="微软雅黑"/>
          <w:b w:val="0"/>
          <w:i w:val="0"/>
          <w:sz w:val="21"/>
        </w:rPr>
        <w:t xml:space="preserve"> (传统策略 A 股难度大)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AI 智能体差异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引入</w:t>
      </w:r>
      <w:r>
        <w:rPr>
          <w:rFonts w:ascii="微软雅黑" w:hAnsi="微软雅黑" w:eastAsia="微软雅黑"/>
          <w:b/>
          <w:i w:val="0"/>
          <w:sz w:val="21"/>
        </w:rPr>
        <w:t>另类数据</w:t>
      </w:r>
      <w:r>
        <w:rPr>
          <w:rFonts w:ascii="微软雅黑" w:hAnsi="微软雅黑" w:eastAsia="微软雅黑"/>
          <w:b w:val="0"/>
          <w:i w:val="0"/>
          <w:sz w:val="21"/>
        </w:rPr>
        <w:t xml:space="preserve"> (舆情/产业链) 而非纯价量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引入</w:t>
      </w:r>
      <w:r>
        <w:rPr>
          <w:rFonts w:ascii="微软雅黑" w:hAnsi="微软雅黑" w:eastAsia="微软雅黑"/>
          <w:b/>
          <w:i w:val="0"/>
          <w:sz w:val="21"/>
        </w:rPr>
        <w:t>自然语言因子</w:t>
      </w:r>
      <w:r>
        <w:rPr>
          <w:rFonts w:ascii="微软雅黑" w:hAnsi="微软雅黑" w:eastAsia="微软雅黑"/>
          <w:b w:val="0"/>
          <w:i w:val="0"/>
          <w:sz w:val="21"/>
        </w:rPr>
        <w:t xml:space="preserve"> (公告/新闻情感) 而非纯财务因子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引入</w:t>
      </w:r>
      <w:r>
        <w:rPr>
          <w:rFonts w:ascii="微软雅黑" w:hAnsi="微软雅黑" w:eastAsia="微软雅黑"/>
          <w:b/>
          <w:i w:val="0"/>
          <w:sz w:val="21"/>
        </w:rPr>
        <w:t>多策略组合</w:t>
      </w:r>
      <w:r>
        <w:rPr>
          <w:rFonts w:ascii="微软雅黑" w:hAnsi="微软雅黑" w:eastAsia="微软雅黑"/>
          <w:b w:val="0"/>
          <w:i w:val="0"/>
          <w:sz w:val="21"/>
        </w:rPr>
        <w:t xml:space="preserve"> (5 类策略动态权重) 而非单一策略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预期效果</w:t>
      </w:r>
      <w:r>
        <w:rPr>
          <w:rFonts w:ascii="微软雅黑" w:hAnsi="微软雅黑" w:eastAsia="微软雅黑"/>
          <w:b w:val="0"/>
          <w:i w:val="0"/>
          <w:sz w:val="21"/>
        </w:rPr>
        <w:t xml:space="preserve">: AI 智能体预期 Sharpe 0.5-1.0 (基于学术研究 + 行业经验), </w:t>
      </w:r>
      <w:r>
        <w:rPr>
          <w:rFonts w:ascii="微软雅黑" w:hAnsi="微软雅黑" w:eastAsia="微软雅黑"/>
          <w:b/>
          <w:i w:val="0"/>
          <w:sz w:val="21"/>
        </w:rPr>
        <w:t>3 年后实盘验证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诚实策略</w:t>
      </w:r>
      <w:r>
        <w:rPr>
          <w:rFonts w:ascii="微软雅黑" w:hAnsi="微软雅黑" w:eastAsia="微软雅黑"/>
          <w:b w:val="0"/>
          <w:i w:val="0"/>
          <w:sz w:val="21"/>
        </w:rPr>
        <w:t xml:space="preserve">: </w:t>
      </w:r>
      <w:r>
        <w:rPr>
          <w:rFonts w:ascii="微软雅黑" w:hAnsi="微软雅黑" w:eastAsia="微软雅黑"/>
          <w:b/>
          <w:i w:val="0"/>
          <w:sz w:val="21"/>
        </w:rPr>
        <w:t>不强求战胜指数</w:t>
      </w:r>
      <w:r>
        <w:rPr>
          <w:rFonts w:ascii="微软雅黑" w:hAnsi="微软雅黑" w:eastAsia="微软雅黑"/>
          <w:b w:val="0"/>
          <w:i w:val="0"/>
          <w:sz w:val="21"/>
        </w:rPr>
        <w:t>, 而是为客户</w:t>
      </w:r>
      <w:r>
        <w:rPr>
          <w:rFonts w:ascii="微软雅黑" w:hAnsi="微软雅黑" w:eastAsia="微软雅黑"/>
          <w:b/>
          <w:i w:val="0"/>
          <w:sz w:val="21"/>
        </w:rPr>
        <w:t>节省 50% 投研人力成本</w:t>
      </w:r>
      <w:r>
        <w:rPr>
          <w:rFonts w:ascii="微软雅黑" w:hAnsi="微软雅黑" w:eastAsia="微软雅黑"/>
          <w:b w:val="0"/>
          <w:i w:val="0"/>
          <w:sz w:val="21"/>
        </w:rPr>
        <w:t xml:space="preserve"> (CSAT 4.5+/5)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Q14: 系统可靠性/容灾/数据安全方案?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金融级 7 层防护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SLA 99.9%</w:t>
      </w:r>
      <w:r>
        <w:rPr>
          <w:rFonts w:ascii="微软雅黑" w:hAnsi="微软雅黑" w:eastAsia="微软雅黑"/>
          <w:b w:val="0"/>
          <w:i w:val="0"/>
          <w:sz w:val="21"/>
        </w:rPr>
        <w:t>: 承诺月停机 &lt; 43 分钟, 不足按 10x 赔偿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多云双活</w:t>
      </w:r>
      <w:r>
        <w:rPr>
          <w:rFonts w:ascii="微软雅黑" w:hAnsi="微软雅黑" w:eastAsia="微软雅黑"/>
          <w:b w:val="0"/>
          <w:i w:val="0"/>
          <w:sz w:val="21"/>
        </w:rPr>
        <w:t>: 阿里云 (上海/深圳) + 华为云 (北京/广州), 4 节点互备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数据备份</w:t>
      </w:r>
      <w:r>
        <w:rPr>
          <w:rFonts w:ascii="微软雅黑" w:hAnsi="微软雅黑" w:eastAsia="微软雅黑"/>
          <w:b w:val="0"/>
          <w:i w:val="0"/>
          <w:sz w:val="21"/>
        </w:rPr>
        <w:t>: 3-2-1 原则 (3 副本, 2 介质, 1 异地), RTO &lt; 5 分钟, RPO &lt; 1 分钟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零信任安全</w:t>
      </w:r>
      <w:r>
        <w:rPr>
          <w:rFonts w:ascii="微软雅黑" w:hAnsi="微软雅黑" w:eastAsia="微软雅黑"/>
          <w:b w:val="0"/>
          <w:i w:val="0"/>
          <w:sz w:val="21"/>
        </w:rPr>
        <w:t>: 终端可信 + 身份双因子 + 微隔离 + 全流量审计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加密</w:t>
      </w:r>
      <w:r>
        <w:rPr>
          <w:rFonts w:ascii="微软雅黑" w:hAnsi="微软雅黑" w:eastAsia="微软雅黑"/>
          <w:b w:val="0"/>
          <w:i w:val="0"/>
          <w:sz w:val="21"/>
        </w:rPr>
        <w:t>: 传输 TLS 1.3, 存储 SM4 国密, 关键数据 SM2 签名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合规认证</w:t>
      </w:r>
      <w:r>
        <w:rPr>
          <w:rFonts w:ascii="微软雅黑" w:hAnsi="微软雅黑" w:eastAsia="微软雅黑"/>
          <w:b w:val="0"/>
          <w:i w:val="0"/>
          <w:sz w:val="21"/>
        </w:rPr>
        <w:t>: 等保三级 (拟) + ISO 27001 (拟 2027) + SOC 2 (拟 2028)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安全运营</w:t>
      </w:r>
      <w:r>
        <w:rPr>
          <w:rFonts w:ascii="微软雅黑" w:hAnsi="微软雅黑" w:eastAsia="微软雅黑"/>
          <w:b w:val="0"/>
          <w:i w:val="0"/>
          <w:sz w:val="21"/>
        </w:rPr>
        <w:t>: 7×24 SOC 团队, 季度红蓝对抗, 0 数据泄露目标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关键证据</w:t>
      </w:r>
      <w:r>
        <w:rPr>
          <w:rFonts w:ascii="微软雅黑" w:hAnsi="微软雅黑" w:eastAsia="微软雅黑"/>
          <w:b w:val="0"/>
          <w:i w:val="0"/>
          <w:sz w:val="21"/>
        </w:rPr>
        <w:t>: T13 技术白皮书第 5 章 5 页 (性能与可靠性).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Q15: AI 算力成本高, 第三方 API (DeepSeek/Qwen) 断供风险?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A: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多源备份 + 成本可控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当前架构</w:t>
      </w:r>
      <w:r>
        <w:rPr>
          <w:rFonts w:ascii="微软雅黑" w:hAnsi="微软雅黑" w:eastAsia="微软雅黑"/>
          <w:b w:val="0"/>
          <w:i w:val="0"/>
          <w:sz w:val="21"/>
        </w:rPr>
        <w:t>: 80% 算力本地 (GPU 集群) + 20% 第三方 API (高峰弹性)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多源备份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模型层: DeepSeek + Qwen + 智谱 + 豆包 (至少 2 家并行)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算力层: 阿里云 + 华为云 + 腾讯云 (3 家切换)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成本控制</w:t>
      </w:r>
      <w:r>
        <w:rPr>
          <w:rFonts w:ascii="微软雅黑" w:hAnsi="微软雅黑" w:eastAsia="微软雅黑"/>
          <w:b w:val="0"/>
          <w:i w:val="0"/>
          <w:sz w:val="21"/>
        </w:rPr>
        <w:t>: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2026 年 80 万 → 2030 年 900 万 (CAGR 84%, 远低于营收 CAGR 147%)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占营收比 4% → 1.1% (规模效应)</w:t>
      </w:r>
    </w:p>
    <w:p>
      <w:pPr>
        <w:pStyle w:val="ListNumber"/>
      </w:pPr>
      <w:r/>
      <w:r>
        <w:rPr>
          <w:rFonts w:ascii="微软雅黑" w:hAnsi="微软雅黑" w:eastAsia="微软雅黑"/>
          <w:b/>
          <w:i w:val="0"/>
          <w:sz w:val="21"/>
        </w:rPr>
        <w:t>自研路径</w:t>
      </w:r>
      <w:r>
        <w:rPr>
          <w:rFonts w:ascii="微软雅黑" w:hAnsi="微软雅黑" w:eastAsia="微软雅黑"/>
          <w:b w:val="0"/>
          <w:i w:val="0"/>
          <w:sz w:val="21"/>
        </w:rPr>
        <w:t>: 拟 2028 年启动</w:t>
      </w:r>
      <w:r>
        <w:rPr>
          <w:rFonts w:ascii="微软雅黑" w:hAnsi="微软雅黑" w:eastAsia="微软雅黑"/>
          <w:b/>
          <w:i w:val="0"/>
          <w:sz w:val="21"/>
        </w:rPr>
        <w:t>自研金融领域小模型 (7B/13B)</w:t>
      </w:r>
      <w:r>
        <w:rPr>
          <w:rFonts w:ascii="微软雅黑" w:hAnsi="微软雅黑" w:eastAsia="微软雅黑"/>
          <w:b w:val="0"/>
          <w:i w:val="0"/>
          <w:sz w:val="21"/>
        </w:rPr>
        <w:t>, 减少 50% API 依赖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关键风险</w:t>
      </w:r>
      <w:r>
        <w:rPr>
          <w:rFonts w:ascii="微软雅黑" w:hAnsi="微软雅黑" w:eastAsia="微软雅黑"/>
          <w:b w:val="0"/>
          <w:i w:val="0"/>
          <w:sz w:val="21"/>
        </w:rPr>
        <w:t>: 已在 V3 财务 8 大风险中明确, "数据源/AI 源断供" 概率 10%, 应对方案就绪.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附: Q&amp;A 速查表 (评委提问 → 对应 Q&amp;A)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评委类型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常见问题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 Q&amp;A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监管/合规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数据/AI/合规/责任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Q1-Q5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学界/教授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回测/学术/Alpha/差异化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Q6-Q9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资管/总裁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客户/竞品/融资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Q10-Q12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技术/CIO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Sharpe/容灾/AI 成本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Q13-Q15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附: 关键数据卡片 (1 分钟读懂)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数字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出处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 (2030)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620 家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5.1 节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营收 (2030)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7.95 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6.3 节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净利润 (2030)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1.98 亿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6.3 节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净利率 (稳态)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6.3 节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估值 (2030)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 亿 (5x P/S)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6.6 节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IRR (5 年)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5.3 节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 轮融资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4.35 亿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6.2 节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 (2030)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280 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7 节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续约率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92%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5 节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LTV/CAC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12:1 实际 (含8%年流失, 理论上限 40:1, &gt;&gt;&gt; 3)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V3 财务 5 节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5.4 年回测 (创业板双均线)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+3.36%/年, Sharpe 0.04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T03 白皮书 4.2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9 类客户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中小私募+银行/券商/保险/信托/公募/高校/IR/战略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V2 BP 2.3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退出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60 月拟 IPO (科创板/北交所)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V2 BP 8.2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文档版本</w:t>
      </w:r>
      <w:r>
        <w:rPr>
          <w:rFonts w:ascii="微软雅黑" w:hAnsi="微软雅黑" w:eastAsia="微软雅黑"/>
          <w:b w:val="0"/>
          <w:i w:val="0"/>
          <w:sz w:val="21"/>
        </w:rPr>
        <w:t>: V2.0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创建日期</w:t>
      </w:r>
      <w:r>
        <w:rPr>
          <w:rFonts w:ascii="微软雅黑" w:hAnsi="微软雅黑" w:eastAsia="微软雅黑"/>
          <w:b w:val="0"/>
          <w:i w:val="0"/>
          <w:sz w:val="21"/>
        </w:rPr>
        <w:t>: 2026-06-06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配套使用</w:t>
      </w:r>
      <w:r>
        <w:rPr>
          <w:rFonts w:ascii="微软雅黑" w:hAnsi="微软雅黑" w:eastAsia="微软雅黑"/>
          <w:b w:val="0"/>
          <w:i w:val="0"/>
          <w:sz w:val="21"/>
        </w:rPr>
        <w:t>: T16 BP V2 + T17 PPT V2 + T15 财务 V3 + T13 技术白皮书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