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A0E27"/>
          <w:sz w:val="44"/>
        </w:rPr>
        <w:t>AFAC2026 自评打分报告</w:t>
      </w:r>
    </w:p>
    <w:p>
      <w:pPr>
        <w:jc w:val="center"/>
      </w:pPr>
      <w:r>
        <w:rPr>
          <w:rFonts w:ascii="微软雅黑" w:hAnsi="微软雅黑" w:eastAsia="微软雅黑"/>
          <w:color w:val="00D4FF"/>
          <w:sz w:val="24"/>
        </w:rPr>
        <w:t>QuantInsight Pro · 初创组 · 六维评分矩阵</w:t>
      </w:r>
    </w:p>
    <w:p>
      <w:pPr>
        <w:jc w:val="center"/>
      </w:pPr>
      <w:r>
        <w:rPr>
          <w:color w:val="666666"/>
          <w:sz w:val="18"/>
        </w:rPr>
        <w:t>项目编号 2026FINTECH-FINT-0093 · AFAC2026 初创组 · 2026年07月08日</w:t>
      </w:r>
    </w:p>
    <w:p/>
    <w:p>
      <w:pPr>
        <w:pStyle w:val="Heading1"/>
      </w:pPr>
      <w:r>
        <w:rPr>
          <w:rFonts w:ascii="微软雅黑" w:hAnsi="微软雅黑" w:eastAsia="微软雅黑"/>
          <w:color w:val="0A0E27"/>
        </w:rPr>
        <w:t>一、官方初创组硬性要求对照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  <w:tc>
          <w:tcPr>
            <w:tcW w:type="dxa" w:w="1134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6236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项目证据</w:t>
            </w:r>
          </w:p>
        </w:tc>
      </w:tr>
      <w:tr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创新</w:t>
            </w:r>
          </w:p>
        </w:tc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623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SHAP 可解释 AI 选股 + 另类数据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可落地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https://3blue1brownlab.cn 生产部署</w:t>
            </w:r>
          </w:p>
        </w:tc>
      </w:tr>
      <w:tr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可复制</w:t>
            </w:r>
          </w:p>
        </w:tc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623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开源回测引擎 + Demo 一键启动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≥1 落地案例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永字资管战略合作已签署</w:t>
            </w:r>
          </w:p>
        </w:tc>
      </w:tr>
      <w:tr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团队 ≥3 人</w:t>
            </w:r>
          </w:p>
        </w:tc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623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冯亦根/王宇寒/官馨/梁理智（4人）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五篇大文章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⚠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白皮书/POC/BP/测试/FAQ 齐备；学术发表计划中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A0E27"/>
        </w:rPr>
        <w:t>二、六维评分矩阵（100 分制）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579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fac_sco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57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66666"/>
          <w:sz w:val="18"/>
        </w:rPr>
        <w:t>图1 AFAC 五维/六维评分雷达图（参考）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417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评分维度</w:t>
            </w:r>
          </w:p>
        </w:tc>
        <w:tc>
          <w:tcPr>
            <w:tcW w:type="dxa" w:w="1134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1134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自评分</w:t>
            </w:r>
          </w:p>
        </w:tc>
        <w:tc>
          <w:tcPr>
            <w:tcW w:type="dxa" w:w="1134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满分</w:t>
            </w:r>
          </w:p>
        </w:tc>
        <w:tc>
          <w:tcPr>
            <w:tcW w:type="dxa" w:w="4252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核心证据</w:t>
            </w:r>
          </w:p>
        </w:tc>
      </w:tr>
      <w:tr>
        <w:tc>
          <w:tcPr>
            <w:tcW w:type="dxa" w:w="141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业务创新</w:t>
            </w:r>
          </w:p>
        </w:tc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20%</w:t>
            </w:r>
          </w:p>
        </w:tc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425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SHAP×17因子A股选股、另类数据融合、多智能体投研，业内差异化明确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技术成熟度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20%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公网 HTTPS Demo、21/21 pytest、ECS systemd 部署、MIT 回测引擎开源</w:t>
            </w:r>
          </w:p>
        </w:tc>
      </w:tr>
      <w:tr>
        <w:tc>
          <w:tcPr>
            <w:tcW w:type="dxa" w:w="141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商业模式</w:t>
            </w:r>
          </w:p>
        </w:tc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15%</w:t>
            </w:r>
          </w:p>
        </w:tc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425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9类机构 SaaS 分层定价、私有化+沙盒；财务模型完整但早期营收有限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落地案例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15%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永字资管战略合作已签署（薛永再推荐单位）；POC 回测 T35 可复现</w:t>
            </w:r>
          </w:p>
        </w:tc>
      </w:tr>
      <w:tr>
        <w:tc>
          <w:tcPr>
            <w:tcW w:type="dxa" w:w="141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团队</w:t>
            </w:r>
          </w:p>
        </w:tc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15%</w:t>
            </w:r>
          </w:p>
        </w:tc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425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4人 AFAC 注册完整分工；CEO 15年+经验；CTO/产品为在校学生，产业纵深待加强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可推广性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15%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Streamlit 可复现、回测引擎 MIT 开源；依赖金融数据 API 与合规环境</w:t>
            </w:r>
          </w:p>
        </w:tc>
      </w:tr>
      <w:tr>
        <w:tc>
          <w:tcPr>
            <w:tcW w:type="dxa" w:w="141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加权合计</w:t>
            </w:r>
          </w:p>
        </w:tc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100%</w:t>
            </w:r>
          </w:p>
        </w:tc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86</w:t>
            </w:r>
          </w:p>
        </w:tc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100</w:t>
            </w:r>
          </w:p>
        </w:tc>
        <w:tc>
          <w:tcPr>
            <w:tcW w:type="dxa" w:w="425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具备初筛竞争力；若路演与答辩稳定，有望冲击一等奖；学生团队与营收规模是主要扣分项…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A0E27"/>
        </w:rPr>
        <w:t>三、优势</w:t>
      </w:r>
    </w:p>
    <w:p>
      <w:pPr>
        <w:pStyle w:val="ListBullet"/>
      </w:pPr>
      <w:r>
        <w:rPr>
          <w:rFonts w:ascii="微软雅黑" w:hAnsi="微软雅黑" w:eastAsia="微软雅黑"/>
        </w:rPr>
        <w:t>SHAP 可解释性深度集成，满足算法备案与客户沟通双重需求</w:t>
      </w:r>
    </w:p>
    <w:p>
      <w:pPr>
        <w:pStyle w:val="ListBullet"/>
      </w:pPr>
      <w:r>
        <w:rPr>
          <w:rFonts w:ascii="微软雅黑" w:hAnsi="微软雅黑" w:eastAsia="微软雅黑"/>
        </w:rPr>
        <w:t>公网 Demo + 3 分钟 MP4 + 21 项自动化测试，交付完整度高</w:t>
      </w:r>
    </w:p>
    <w:p>
      <w:pPr>
        <w:pStyle w:val="ListBullet"/>
      </w:pPr>
      <w:r>
        <w:rPr>
          <w:rFonts w:ascii="微软雅黑" w:hAnsi="微软雅黑" w:eastAsia="微软雅黑"/>
        </w:rPr>
        <w:t>永字资管战略合作已签署，推荐单位法定代表人薛永再场外背书</w:t>
      </w:r>
    </w:p>
    <w:p>
      <w:pPr>
        <w:pStyle w:val="ListBullet"/>
      </w:pPr>
      <w:r>
        <w:rPr>
          <w:rFonts w:ascii="微软雅黑" w:hAnsi="微软雅黑" w:eastAsia="微软雅黑"/>
        </w:rPr>
        <w:t>T35 修正回测口径统一，POC 数据包可复现</w:t>
      </w:r>
    </w:p>
    <w:p>
      <w:pPr>
        <w:pStyle w:val="Heading1"/>
      </w:pPr>
      <w:r>
        <w:rPr>
          <w:rFonts w:ascii="微软雅黑" w:hAnsi="微软雅黑" w:eastAsia="微软雅黑"/>
          <w:color w:val="0A0E27"/>
        </w:rPr>
        <w:t>四、缺口</w:t>
      </w:r>
    </w:p>
    <w:p>
      <w:pPr>
        <w:pStyle w:val="ListBullet"/>
      </w:pPr>
      <w:r>
        <w:rPr>
          <w:rFonts w:ascii="微软雅黑" w:hAnsi="微软雅黑" w:eastAsia="微软雅黑"/>
        </w:rPr>
        <w:t>团队以 CEO + 3 名学生为主，大规模商业化执行经验有限</w:t>
      </w:r>
    </w:p>
    <w:p>
      <w:pPr>
        <w:pStyle w:val="ListBullet"/>
      </w:pPr>
      <w:r>
        <w:rPr>
          <w:rFonts w:ascii="微软雅黑" w:hAnsi="微软雅黑" w:eastAsia="微软雅黑"/>
        </w:rPr>
        <w:t>多因子年化 8.56% 绝对收益偏保守，需强调风险调整后超额</w:t>
      </w:r>
    </w:p>
    <w:p>
      <w:pPr>
        <w:pStyle w:val="ListBullet"/>
      </w:pPr>
      <w:r>
        <w:rPr>
          <w:rFonts w:ascii="微软雅黑" w:hAnsi="微软雅黑" w:eastAsia="微软雅黑"/>
        </w:rPr>
        <w:t>工商登记/承诺书/身份证等线下材料需人工补齐</w:t>
      </w:r>
    </w:p>
    <w:p>
      <w:pPr>
        <w:pStyle w:val="ListBullet"/>
      </w:pPr>
      <w:r>
        <w:rPr>
          <w:rFonts w:ascii="微软雅黑" w:hAnsi="微软雅黑" w:eastAsia="微软雅黑"/>
        </w:rPr>
        <w:t>「五篇大文章」学术产出尚在计划中，未发表</w:t>
      </w:r>
    </w:p>
    <w:p>
      <w:pPr>
        <w:pStyle w:val="Heading1"/>
      </w:pPr>
      <w:r>
        <w:rPr>
          <w:rFonts w:ascii="微软雅黑" w:hAnsi="微软雅黑" w:eastAsia="微软雅黑"/>
          <w:color w:val="0A0E27"/>
        </w:rPr>
        <w:t>五、改进建议</w:t>
      </w:r>
    </w:p>
    <w:p>
      <w:pPr>
        <w:pStyle w:val="ListBullet"/>
      </w:pPr>
      <w:r>
        <w:rPr>
          <w:rFonts w:ascii="微软雅黑" w:hAnsi="微软雅黑" w:eastAsia="微软雅黑"/>
        </w:rPr>
        <w:t>路演突出永字 POC 试点进展与可量化业务指标</w:t>
      </w:r>
    </w:p>
    <w:p>
      <w:pPr>
        <w:pStyle w:val="ListBullet"/>
      </w:pPr>
      <w:r>
        <w:rPr>
          <w:rFonts w:ascii="微软雅黑" w:hAnsi="微软雅黑" w:eastAsia="微软雅黑"/>
        </w:rPr>
        <w:t>准备评委追问：8.56% vs 基准超额 3.10% 的逻辑</w:t>
      </w:r>
    </w:p>
    <w:p>
      <w:pPr>
        <w:pStyle w:val="ListBullet"/>
      </w:pPr>
      <w:r>
        <w:rPr>
          <w:rFonts w:ascii="微软雅黑" w:hAnsi="微软雅黑" w:eastAsia="微软雅黑"/>
        </w:rPr>
        <w:t>补齐平台承诺书签字扫描与营业执照（如已注册）</w:t>
      </w:r>
    </w:p>
    <w:p>
      <w:pPr>
        <w:pStyle w:val="ListBullet"/>
      </w:pPr>
      <w:r>
        <w:rPr>
          <w:rFonts w:ascii="微软雅黑" w:hAnsi="微软雅黑" w:eastAsia="微软雅黑"/>
        </w:rPr>
        <w:t>决赛前完成 5 分钟路演视频备用</w:t>
      </w:r>
    </w:p>
    <w:p>
      <w:pPr>
        <w:pStyle w:val="Heading1"/>
      </w:pPr>
      <w:r>
        <w:rPr>
          <w:rFonts w:ascii="微软雅黑" w:hAnsi="微软雅黑" w:eastAsia="微软雅黑"/>
          <w:color w:val="0A0E27"/>
        </w:rPr>
        <w:t>六、诚实披露</w:t>
      </w:r>
    </w:p>
    <w:p>
      <w:pPr>
        <w:pStyle w:val="ListBullet"/>
      </w:pPr>
      <w:r>
        <w:rPr>
          <w:rFonts w:ascii="微软雅黑" w:hAnsi="微软雅黑" w:eastAsia="微软雅黑"/>
        </w:rPr>
        <w:t>永字合作：战略合作已签署；薛永再为推荐单位法定代表人，非参赛队员</w:t>
      </w:r>
    </w:p>
    <w:p>
      <w:pPr>
        <w:pStyle w:val="ListBullet"/>
      </w:pPr>
      <w:r>
        <w:rPr>
          <w:rFonts w:ascii="微软雅黑" w:hAnsi="微软雅黑" w:eastAsia="微软雅黑"/>
        </w:rPr>
        <w:t>团队构成：4 名 AFAC 注册队员；含在校本科生/大三学生</w:t>
      </w:r>
    </w:p>
    <w:p>
      <w:pPr>
        <w:pStyle w:val="ListBullet"/>
      </w:pPr>
      <w:r>
        <w:rPr>
          <w:rFonts w:ascii="微软雅黑" w:hAnsi="微软雅黑" w:eastAsia="微软雅黑"/>
        </w:rPr>
        <w:t>演示视频：3 分钟 MP4 已完成（submission/02_Demo交付/）</w:t>
      </w:r>
    </w:p>
    <w:p>
      <w:pPr>
        <w:pStyle w:val="ListBullet"/>
      </w:pPr>
      <w:r>
        <w:rPr>
          <w:rFonts w:ascii="微软雅黑" w:hAnsi="微软雅黑" w:eastAsia="微软雅黑"/>
        </w:rPr>
        <w:t>回测口径：T35 修正多因子年化 8.56%，废弃 T30 错误值</w:t>
      </w:r>
    </w:p>
    <w:p>
      <w:pPr>
        <w:pStyle w:val="Heading1"/>
      </w:pPr>
      <w:r>
        <w:rPr>
          <w:rFonts w:ascii="微软雅黑" w:hAnsi="微软雅黑" w:eastAsia="微软雅黑"/>
          <w:color w:val="0A0E27"/>
        </w:rPr>
        <w:t>七、预估奖项区间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预估：二等奖（稳健）/ TOP20 初筛</w:t>
        <w:br/>
        <w:t>具备初筛竞争力；若路演与答辩稳定，有望冲击一等奖；学生团队与营收规模是主要扣分项。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867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eam_or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6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66666"/>
          <w:sz w:val="18"/>
        </w:rPr>
        <w:t>图2 参赛团队组织架构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431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trategy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3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66666"/>
          <w:sz w:val="18"/>
        </w:rPr>
        <w:t>图3 T35 回测策略对比</w:t>
      </w:r>
    </w:p>
    <w:p/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