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A0E27"/>
          <w:sz w:val="44"/>
        </w:rPr>
        <w:t>评委 FAQ 手册</w:t>
      </w:r>
    </w:p>
    <w:p>
      <w:pPr>
        <w:jc w:val="center"/>
      </w:pPr>
      <w:r>
        <w:rPr>
          <w:rFonts w:ascii="微软雅黑" w:hAnsi="微软雅黑" w:eastAsia="微软雅黑"/>
          <w:color w:val="00D4FF"/>
          <w:sz w:val="24"/>
        </w:rPr>
        <w:t>10 问 10 答 · 路演答辩预设</w:t>
      </w:r>
    </w:p>
    <w:p>
      <w:pPr>
        <w:jc w:val="center"/>
      </w:pPr>
      <w:r>
        <w:rPr>
          <w:color w:val="666666"/>
          <w:sz w:val="18"/>
        </w:rPr>
        <w:t>项目编号 2026FINTECH-FINT-0093 · AFAC2026 初创组 · 2026年07月07日</w:t>
      </w:r>
    </w:p>
    <w:p/>
    <w:p>
      <w:pPr>
        <w:pStyle w:val="Heading2"/>
      </w:pPr>
      <w:r>
        <w:rPr>
          <w:rFonts w:ascii="微软雅黑" w:hAnsi="微软雅黑" w:eastAsia="微软雅黑"/>
          <w:color w:val="00D4FF"/>
        </w:rPr>
        <w:t>Q1. 与 Wind/同花顺的差异？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聚焦中小私募长尾 + SHAP 可解释 AI + 另类数据融合；Wind 偏数据终端，我们是一站式投研决策平台。</w:t>
      </w:r>
    </w:p>
    <w:p>
      <w:pPr>
        <w:pStyle w:val="Heading2"/>
      </w:pPr>
      <w:r>
        <w:rPr>
          <w:rFonts w:ascii="微软雅黑" w:hAnsi="微软雅黑" w:eastAsia="微软雅黑"/>
          <w:color w:val="00D4FF"/>
        </w:rPr>
        <w:t>Q2. 回测 8.56% 是否过拟合？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T35 引擎修正后基于 HS300 成分股 11.4 年 akshare 真实数据；含交易成本；单元测试 21/21 通过。</w:t>
      </w:r>
    </w:p>
    <w:p>
      <w:pPr>
        <w:pStyle w:val="Heading2"/>
      </w:pPr>
      <w:r>
        <w:rPr>
          <w:rFonts w:ascii="微软雅黑" w:hAnsi="微软雅黑" w:eastAsia="微软雅黑"/>
          <w:color w:val="00D4FF"/>
        </w:rPr>
        <w:t>Q3. SHAP 的技术实现？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XGBoost 多因子模型 + shap 库 Summary/Force Plot；每只股票决策可追溯至 17 因子贡献。</w:t>
      </w:r>
    </w:p>
    <w:p>
      <w:pPr>
        <w:pStyle w:val="Heading2"/>
      </w:pPr>
      <w:r>
        <w:rPr>
          <w:rFonts w:ascii="微软雅黑" w:hAnsi="微软雅黑" w:eastAsia="微软雅黑"/>
          <w:color w:val="00D4FF"/>
        </w:rPr>
        <w:t>Q4. 数据合规性？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多源备份 + 来源标签；Demo 模式标注 Mock 来源；满足算法备案可解释性要求。</w:t>
      </w:r>
    </w:p>
    <w:p>
      <w:pPr>
        <w:pStyle w:val="Heading2"/>
      </w:pPr>
      <w:r>
        <w:rPr>
          <w:rFonts w:ascii="微软雅黑" w:hAnsi="微软雅黑" w:eastAsia="微软雅黑"/>
          <w:color w:val="00D4FF"/>
        </w:rPr>
        <w:t>Q5. 永字资管合作真实性？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推荐单位法定代表人薛永再，战略合作已签署；提供 POC 试点与行业背书。</w:t>
      </w:r>
    </w:p>
    <w:p>
      <w:pPr>
        <w:pStyle w:val="Heading2"/>
      </w:pPr>
      <w:r>
        <w:rPr>
          <w:rFonts w:ascii="微软雅黑" w:hAnsi="微软雅黑" w:eastAsia="微软雅黑"/>
          <w:color w:val="00D4FF"/>
        </w:rPr>
        <w:t>Q6. AI 幻觉如何控制？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RAG 数据接地 + 每条结论带来源引用 + 合规审计日志可视化。</w:t>
      </w:r>
    </w:p>
    <w:p>
      <w:pPr>
        <w:pStyle w:val="Heading2"/>
      </w:pPr>
      <w:r>
        <w:rPr>
          <w:rFonts w:ascii="微软雅黑" w:hAnsi="微软雅黑" w:eastAsia="微软雅黑"/>
          <w:color w:val="00D4FF"/>
        </w:rPr>
        <w:t>Q7. 商业模式？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SaaS 订阅 + 私有化部署 + 监管沙盒；9 类机构分层定价。</w:t>
      </w:r>
    </w:p>
    <w:p>
      <w:pPr>
        <w:pStyle w:val="Heading2"/>
      </w:pPr>
      <w:r>
        <w:rPr>
          <w:rFonts w:ascii="微软雅黑" w:hAnsi="微软雅黑" w:eastAsia="微软雅黑"/>
          <w:color w:val="00D4FF"/>
        </w:rPr>
        <w:t>Q8. 团队为何 4 人？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AFAC 平台注册 4 名参赛队员；薛永再为推荐单位顾问非队员。</w:t>
      </w:r>
    </w:p>
    <w:p>
      <w:pPr>
        <w:pStyle w:val="Heading2"/>
      </w:pPr>
      <w:r>
        <w:rPr>
          <w:rFonts w:ascii="微软雅黑" w:hAnsi="微软雅黑" w:eastAsia="微软雅黑"/>
          <w:color w:val="00D4FF"/>
        </w:rPr>
        <w:t>Q9. 开源策略？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回测引擎 MIT 开源；核心因子与 SHAP 集成闭源 SaaS。</w:t>
      </w:r>
    </w:p>
    <w:p>
      <w:pPr>
        <w:pStyle w:val="Heading2"/>
      </w:pPr>
      <w:r>
        <w:rPr>
          <w:rFonts w:ascii="微软雅黑" w:hAnsi="微软雅黑" w:eastAsia="微软雅黑"/>
          <w:color w:val="00D4FF"/>
        </w:rPr>
        <w:t>Q10. 社会价值？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降低中小机构投研门槛；养老/普惠金融场景；算法透明化。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