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795"/>
            </w:pPr>
          </w:p>
          <w:p>
            <w:pPr>
              <w:pBdr>
                <w:bottom w:val="single" w:color="C9A84C" w:sz="6" w:space="8"/>
              </w:pBdr>
              <w:spacing w:after="500"/>
              <w:ind w:left="1200" w:right="800"/>
            </w:pPr>
            <w:r>
              <w:rPr>
                <w:rFonts w:ascii="Calibri" w:eastAsia="SimHei"/>
                <w:color w:val="C9A84C"/>
                <w:spacing w:val="40"/>
                <w:sz w:val="18"/>
                <w:szCs w:val="18"/>
              </w:rPr>
              <w:t xml:space="preserve">E  Q  U  I  T  Y     R  E  S  E  A  R  C  H     R  E  P  O  R  T</w:t>
            </w:r>
          </w:p>
          <w:p>
            <w:pPr>
              <w:spacing w:after="100" w:line="920" w:lineRule="atLeast"/>
              <w:ind w:left="1200"/>
            </w:pPr>
            <w:r>
              <w:rPr>
                <w:rFonts w:ascii="Arial" w:eastAsia="SimHei"/>
                <w:b/>
                <w:bCs/>
                <w:color w:val="FFFFFF"/>
                <w:sz w:val="80"/>
                <w:szCs w:val="80"/>
              </w:rPr>
              <w:t xml:space="preserve">贵州茅台（600519）</w:t>
            </w:r>
          </w:p>
          <w:p>
            <w:pPr>
              <w:spacing w:after="300" w:line="920" w:lineRule="atLeast"/>
              <w:ind w:left="1200"/>
            </w:pPr>
            <w:r>
              <w:rPr>
                <w:rFonts w:ascii="Arial" w:eastAsia="SimHei"/>
                <w:b/>
                <w:bCs/>
                <w:color w:val="FFFFFF"/>
                <w:sz w:val="80"/>
                <w:szCs w:val="80"/>
              </w:rPr>
              <w:t xml:space="preserve">投资价值研究报告</w:t>
            </w:r>
          </w:p>
          <w:p>
            <w:pPr>
              <w:spacing w:after="800"/>
              <w:ind w:left="1200"/>
            </w:pPr>
            <w:r>
              <w:rPr>
                <w:rFonts w:ascii="Arial" w:eastAsia="Microsoft YaHei"/>
                <w:color w:val="B0B8C0"/>
                <w:sz w:val="24"/>
                <w:szCs w:val="24"/>
              </w:rPr>
              <w:t xml:space="preserve">行业深度调整期的底部价值：业绩修复 × 估值回归 × 股息垫底</w:t>
            </w:r>
          </w:p>
          <w:p>
            <w:pPr>
              <w:pBdr>
                <w:left w:val="single" w:color="C9A84C" w:sz="8" w:space="12"/>
              </w:pBdr>
              <w:spacing w:after="80"/>
              <w:ind w:left="1400"/>
            </w:pPr>
            <w:r>
              <w:rPr>
                <w:rFonts w:ascii="Arial" w:eastAsia="Microsoft YaHei"/>
                <w:color w:val="90989F"/>
                <w:sz w:val="24"/>
                <w:szCs w:val="24"/>
              </w:rPr>
              <w:t xml:space="preserve">标的：贵州茅台 600519.SH</w:t>
            </w:r>
          </w:p>
          <w:p>
            <w:pPr>
              <w:pBdr>
                <w:left w:val="single" w:color="C9A84C" w:sz="8" w:space="12"/>
              </w:pBdr>
              <w:spacing w:after="80"/>
              <w:ind w:left="1400"/>
            </w:pPr>
            <w:r>
              <w:rPr>
                <w:rFonts w:ascii="Arial" w:eastAsia="Microsoft YaHei"/>
                <w:color w:val="90989F"/>
                <w:sz w:val="24"/>
                <w:szCs w:val="24"/>
              </w:rPr>
              <w:t xml:space="preserve">评级：买入（首次覆盖 · AI生成研究示例）</w:t>
            </w:r>
          </w:p>
          <w:p>
            <w:pPr>
              <w:pBdr>
                <w:left w:val="single" w:color="C9A84C" w:sz="8" w:space="12"/>
              </w:pBdr>
              <w:spacing w:after="80"/>
              <w:ind w:left="1400"/>
            </w:pPr>
            <w:r>
              <w:rPr>
                <w:rFonts w:ascii="Arial" w:eastAsia="Microsoft YaHei"/>
                <w:color w:val="90989F"/>
                <w:sz w:val="24"/>
                <w:szCs w:val="24"/>
              </w:rPr>
              <w:t xml:space="preserve">目标区间：1,550-1,800元 / 中枢 1,700元</w:t>
            </w:r>
          </w:p>
          <w:p>
            <w:pPr>
              <w:pBdr>
                <w:left w:val="single" w:color="C9A84C" w:sz="8" w:space="12"/>
              </w:pBdr>
              <w:spacing w:after="80"/>
              <w:ind w:left="1400"/>
            </w:pPr>
            <w:r>
              <w:rPr>
                <w:rFonts w:ascii="Arial" w:eastAsia="Microsoft YaHei"/>
                <w:color w:val="90989F"/>
                <w:sz w:val="24"/>
                <w:szCs w:val="24"/>
              </w:rPr>
              <w:t xml:space="preserve">现价：1,335元（2026-10-22）</w:t>
            </w:r>
          </w:p>
          <w:p>
            <w:pPr>
              <w:pBdr>
                <w:left w:val="single" w:color="C9A84C" w:sz="8" w:space="12"/>
              </w:pBdr>
              <w:spacing w:after="80"/>
              <w:ind w:left="1400"/>
            </w:pPr>
            <w:r>
              <w:rPr>
                <w:rFonts w:ascii="Arial" w:eastAsia="Microsoft YaHei"/>
                <w:color w:val="90989F"/>
                <w:sz w:val="24"/>
                <w:szCs w:val="24"/>
              </w:rPr>
              <w:t xml:space="preserve">报告日期：2026年10月24日</w:t>
            </w:r>
          </w:p>
          <w:p>
            <w:pPr>
              <w:pBdr>
                <w:left w:val="single" w:color="C9A84C" w:sz="8" w:space="12"/>
              </w:pBdr>
              <w:spacing w:after="80"/>
              <w:ind w:left="1400"/>
            </w:pPr>
            <w:r>
              <w:rPr>
                <w:rFonts w:ascii="Arial" w:eastAsia="Microsoft YaHei"/>
                <w:color w:val="90989F"/>
                <w:sz w:val="24"/>
                <w:szCs w:val="24"/>
              </w:rPr>
              <w:t xml:space="preserve">出品：研报侠 · 个人AI投研工作台</w:t>
            </w:r>
          </w:p>
          <w:p>
            <w:pPr>
              <w:spacing w:before="3795"/>
            </w:pPr>
          </w:p>
          <w:p>
            <w:pPr>
              <w:pBdr>
                <w:top w:val="single" w:color="C9A84C" w:sz="2" w:space="8"/>
              </w:pBdr>
              <w:spacing w:before="200"/>
              <w:ind w:left="1200" w:right="800"/>
            </w:pPr>
            <w:r>
              <w:rPr>
                <w:rFonts w:ascii="Arial" w:eastAsia="Microsoft YaHei"/>
                <w:color w:val="687078"/>
                <w:sz w:val="16"/>
                <w:szCs w:val="16"/>
              </w:rPr>
              <w:t xml:space="preserve">研报侠 · 个人AI投研工作台</w:t>
            </w:r>
            <w:r>
              <w:t xml:space="preserve">                                        </w:t>
            </w:r>
            <w:r>
              <w:rPr>
                <w:rFonts w:ascii="Arial"/>
                <w:color w:val="687078"/>
                <w:sz w:val="16"/>
                <w:szCs w:val="16"/>
              </w:rPr>
              <w:t xml:space="preserve">2026.10</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1A1A1A"/>
          <w:sz w:val="32"/>
          <w:szCs w:val="32"/>
        </w:rPr>
        <w:t xml:space="preserve">目  录</w:t>
      </w:r>
    </w:p>
    <w:sdt>
      <w:sdtPr>
        <w:alias w:val="Table of Contents"/>
      </w:sdtPr>
      <w:sdtContent>
        <w:p>
          <w:pPr>
            <w:pStyle w:val="TOC1"/>
            <w:tabs>
              <w:tab w:val="right" w:leader="dot" w:pos="9026"/>
            </w:tabs>
          </w:pPr>
          <w:r>
            <w:fldChar w:fldCharType="begin" w:dirty="true"/>
          </w:r>
          <w:r>
            <w:instrText xml:space="preserve">TOC \h \o "1-2"</w:instrText>
          </w:r>
          <w:r>
            <w:fldChar w:fldCharType="separate"/>
          </w:r>
          <w:hyperlink w:history="1" w:anchor="_Toc1">
            <w:r>
              <w:t xml:space="preserve">一、投资要点</w:t>
            </w:r>
            <w:r>
              <w:tab/>
            </w:r>
            <w:r>
              <w:fldChar w:fldCharType="begin" w:dirty="true"/>
            </w:r>
            <w:r>
              <w:instrText xml:space="preserve">PAGEREF _Toc1 \h</w:instrText>
            </w:r>
            <w:r>
              <w:fldChar w:fldCharType="separate"/>
            </w:r>
            <w:r>
              <w:t>1</w:t>
            </w:r>
            <w:r>
              <w:fldChar w:fldCharType="end"/>
            </w:r>
          </w:hyperlink>
        </w:p>
        <w:p>
          <w:pPr>
            <w:pStyle w:val="TOC1"/>
            <w:tabs>
              <w:tab w:val="right" w:leader="dot" w:pos="9026"/>
            </w:tabs>
            <w:spacing w:before="120" w:after="60"/>
          </w:pPr>
          <w:r>
            <w:t>二、公司概况与基本面分析</w:t>
          </w:r>
          <w:r>
            <w:tab/>
          </w:r>
          <w:r>
            <w:t>2</w:t>
          </w:r>
        </w:p>
        <w:p>
          <w:pPr>
            <w:pStyle w:val="TOC2"/>
            <w:ind w:left="360"/>
            <w:tabs>
              <w:tab w:val="right" w:leader="dot" w:pos="9026"/>
            </w:tabs>
            <w:spacing w:before="120" w:after="60"/>
          </w:pPr>
          <w:r>
            <w:t>2.1 公司概况与商业模式</w:t>
          </w:r>
          <w:r>
            <w:tab/>
          </w:r>
          <w:r>
            <w:t>2</w:t>
          </w:r>
        </w:p>
        <w:p>
          <w:pPr>
            <w:pStyle w:val="TOC2"/>
            <w:ind w:left="360"/>
            <w:tabs>
              <w:tab w:val="right" w:leader="dot" w:pos="9026"/>
            </w:tabs>
            <w:spacing w:before="120" w:after="60"/>
          </w:pPr>
          <w:r>
            <w:t>2.2 成长性：八年双位数增长后的首次回落</w:t>
          </w:r>
          <w:r>
            <w:tab/>
          </w:r>
          <w:r>
            <w:t>2</w:t>
          </w:r>
        </w:p>
        <w:p>
          <w:pPr>
            <w:pStyle w:val="TOC2"/>
            <w:ind w:left="360"/>
            <w:tabs>
              <w:tab w:val="right" w:leader="dot" w:pos="9026"/>
            </w:tabs>
            <w:spacing w:before="120" w:after="60"/>
          </w:pPr>
          <w:r>
            <w:t>2.3 盈利能力与现金流质量</w:t>
          </w:r>
          <w:r>
            <w:tab/>
          </w:r>
          <w:r>
            <w:t>3</w:t>
          </w:r>
        </w:p>
        <w:p>
          <w:pPr>
            <w:pStyle w:val="TOC2"/>
            <w:ind w:left="360"/>
            <w:tabs>
              <w:tab w:val="right" w:leader="dot" w:pos="9026"/>
            </w:tabs>
            <w:spacing w:before="120" w:after="60"/>
          </w:pPr>
          <w:r>
            <w:t>2.4 业务结构：产品、渠道与区域的三重结构变化</w:t>
          </w:r>
          <w:r>
            <w:tab/>
          </w:r>
          <w:r>
            <w:t>3</w:t>
          </w:r>
        </w:p>
        <w:p>
          <w:pPr>
            <w:pStyle w:val="TOC1"/>
            <w:tabs>
              <w:tab w:val="right" w:leader="dot" w:pos="9026"/>
            </w:tabs>
            <w:spacing w:before="120" w:after="60"/>
          </w:pPr>
          <w:r>
            <w:t>三、行业分析：缩量时代的存量博弈</w:t>
          </w:r>
          <w:r>
            <w:tab/>
          </w:r>
          <w:r>
            <w:t>4</w:t>
          </w:r>
        </w:p>
        <w:p>
          <w:pPr>
            <w:pStyle w:val="TOC2"/>
            <w:ind w:left="360"/>
            <w:tabs>
              <w:tab w:val="right" w:leader="dot" w:pos="9026"/>
            </w:tabs>
            <w:spacing w:before="120" w:after="60"/>
          </w:pPr>
          <w:r>
            <w:t>3.1 行业空间与本轮调整的性质</w:t>
          </w:r>
          <w:r>
            <w:tab/>
          </w:r>
          <w:r>
            <w:t>4</w:t>
          </w:r>
        </w:p>
        <w:p>
          <w:pPr>
            <w:pStyle w:val="TOC2"/>
            <w:ind w:left="360"/>
            <w:tabs>
              <w:tab w:val="right" w:leader="dot" w:pos="9026"/>
            </w:tabs>
            <w:spacing w:before="120" w:after="60"/>
          </w:pPr>
          <w:r>
            <w:t>3.2 竞争格局：马太效应加速分化</w:t>
          </w:r>
          <w:r>
            <w:tab/>
          </w:r>
          <w:r>
            <w:t>5</w:t>
          </w:r>
        </w:p>
        <w:p>
          <w:pPr>
            <w:pStyle w:val="TOC2"/>
            <w:ind w:left="360"/>
            <w:tabs>
              <w:tab w:val="right" w:leader="dot" w:pos="9026"/>
            </w:tabs>
            <w:spacing w:before="120" w:after="60"/>
          </w:pPr>
          <w:r>
            <w:t>3.3 需求侧长期变量与政策环境</w:t>
          </w:r>
          <w:r>
            <w:tab/>
          </w:r>
          <w:r>
            <w:t>5</w:t>
          </w:r>
        </w:p>
        <w:p>
          <w:pPr>
            <w:pStyle w:val="TOC1"/>
            <w:tabs>
              <w:tab w:val="right" w:leader="dot" w:pos="9026"/>
            </w:tabs>
            <w:spacing w:before="120" w:after="60"/>
          </w:pPr>
          <w:r>
            <w:t>四、核心竞争力分析</w:t>
          </w:r>
          <w:r>
            <w:tab/>
          </w:r>
          <w:r>
            <w:t>5</w:t>
          </w:r>
        </w:p>
        <w:p>
          <w:pPr>
            <w:pStyle w:val="TOC2"/>
            <w:ind w:left="360"/>
            <w:tabs>
              <w:tab w:val="right" w:leader="dot" w:pos="9026"/>
            </w:tabs>
            <w:spacing w:before="120" w:after="60"/>
          </w:pPr>
          <w:r>
            <w:t>4.1 品牌与定价权：最硬的护城河</w:t>
          </w:r>
          <w:r>
            <w:tab/>
          </w:r>
          <w:r>
            <w:t>5</w:t>
          </w:r>
        </w:p>
        <w:p>
          <w:pPr>
            <w:pStyle w:val="TOC2"/>
            <w:ind w:left="360"/>
            <w:tabs>
              <w:tab w:val="right" w:leader="dot" w:pos="9026"/>
            </w:tabs>
            <w:spacing w:before="120" w:after="60"/>
          </w:pPr>
          <w:r>
            <w:t>4.2 稀缺产能与工艺壁垒：物理护城河</w:t>
          </w:r>
          <w:r>
            <w:tab/>
          </w:r>
          <w:r>
            <w:t>6</w:t>
          </w:r>
        </w:p>
        <w:p>
          <w:pPr>
            <w:pStyle w:val="TOC2"/>
            <w:ind w:left="360"/>
            <w:tabs>
              <w:tab w:val="right" w:leader="dot" w:pos="9026"/>
            </w:tabs>
            <w:spacing w:before="120" w:after="60"/>
          </w:pPr>
          <w:r>
            <w:t>4.3 渠道控制力与财务质量：正在增强的护城河</w:t>
          </w:r>
          <w:r>
            <w:tab/>
          </w:r>
          <w:r>
            <w:t>6</w:t>
          </w:r>
        </w:p>
        <w:p>
          <w:pPr>
            <w:pStyle w:val="TOC1"/>
            <w:tabs>
              <w:tab w:val="right" w:leader="dot" w:pos="9026"/>
            </w:tabs>
            <w:spacing w:before="120" w:after="60"/>
          </w:pPr>
          <w:r>
            <w:t>五、盈利预测</w:t>
          </w:r>
          <w:r>
            <w:tab/>
          </w:r>
          <w:r>
            <w:t>6</w:t>
          </w:r>
        </w:p>
        <w:p>
          <w:pPr>
            <w:pStyle w:val="TOC2"/>
            <w:ind w:left="360"/>
            <w:tabs>
              <w:tab w:val="right" w:leader="dot" w:pos="9026"/>
            </w:tabs>
            <w:spacing w:before="120" w:after="60"/>
          </w:pPr>
          <w:r>
            <w:t>5.1 关键假设</w:t>
          </w:r>
          <w:r>
            <w:tab/>
          </w:r>
          <w:r>
            <w:t>6</w:t>
          </w:r>
        </w:p>
        <w:p>
          <w:pPr>
            <w:pStyle w:val="TOC2"/>
            <w:ind w:left="360"/>
            <w:tabs>
              <w:tab w:val="right" w:leader="dot" w:pos="9026"/>
            </w:tabs>
            <w:spacing w:before="120" w:after="60"/>
          </w:pPr>
          <w:r>
            <w:t>5.2 预测结果</w:t>
          </w:r>
          <w:r>
            <w:tab/>
          </w:r>
          <w:r>
            <w:t>7</w:t>
          </w:r>
        </w:p>
        <w:p>
          <w:pPr>
            <w:pStyle w:val="TOC1"/>
            <w:tabs>
              <w:tab w:val="right" w:leader="dot" w:pos="9026"/>
            </w:tabs>
            <w:spacing w:before="120" w:after="60"/>
          </w:pPr>
          <w:r>
            <w:t>六、估值分析</w:t>
          </w:r>
          <w:r>
            <w:tab/>
          </w:r>
          <w:r>
            <w:t>7</w:t>
          </w:r>
        </w:p>
        <w:p>
          <w:pPr>
            <w:pStyle w:val="TOC2"/>
            <w:ind w:left="360"/>
            <w:tabs>
              <w:tab w:val="right" w:leader="dot" w:pos="9026"/>
            </w:tabs>
            <w:spacing w:before="120" w:after="60"/>
          </w:pPr>
          <w:r>
            <w:t>6.1 DCF绝对估值</w:t>
          </w:r>
          <w:r>
            <w:tab/>
          </w:r>
          <w:r>
            <w:t>7</w:t>
          </w:r>
        </w:p>
        <w:p>
          <w:pPr>
            <w:pStyle w:val="TOC2"/>
            <w:ind w:left="360"/>
            <w:tabs>
              <w:tab w:val="right" w:leader="dot" w:pos="9026"/>
            </w:tabs>
            <w:spacing w:before="120" w:after="60"/>
          </w:pPr>
          <w:r>
            <w:t>6.2 相对估值</w:t>
          </w:r>
          <w:r>
            <w:tab/>
          </w:r>
          <w:r>
            <w:t>7</w:t>
          </w:r>
        </w:p>
        <w:p>
          <w:pPr>
            <w:pStyle w:val="TOC2"/>
            <w:ind w:left="360"/>
            <w:tabs>
              <w:tab w:val="right" w:leader="dot" w:pos="9026"/>
            </w:tabs>
            <w:spacing w:before="120" w:after="60"/>
          </w:pPr>
          <w:r>
            <w:t>6.3 敏感性分析与综合结论</w:t>
          </w:r>
          <w:r>
            <w:tab/>
          </w:r>
          <w:r>
            <w:t>8</w:t>
          </w:r>
        </w:p>
        <w:p>
          <w:pPr>
            <w:pStyle w:val="TOC1"/>
            <w:tabs>
              <w:tab w:val="right" w:leader="dot" w:pos="9026"/>
            </w:tabs>
            <w:spacing w:before="120" w:after="60"/>
          </w:pPr>
          <w:r>
            <w:t>七、投资逻辑与风险提示</w:t>
          </w:r>
          <w:r>
            <w:tab/>
          </w:r>
          <w:r>
            <w:t>9</w:t>
          </w:r>
        </w:p>
        <w:p>
          <w:pPr>
            <w:pStyle w:val="TOC2"/>
            <w:ind w:left="360"/>
            <w:tabs>
              <w:tab w:val="right" w:leader="dot" w:pos="9026"/>
            </w:tabs>
            <w:spacing w:before="120" w:after="60"/>
          </w:pPr>
          <w:r>
            <w:t>7.1 核心投资逻辑</w:t>
          </w:r>
          <w:r>
            <w:tab/>
          </w:r>
          <w:r>
            <w:t>9</w:t>
          </w:r>
        </w:p>
        <w:p>
          <w:pPr>
            <w:pStyle w:val="TOC2"/>
            <w:ind w:left="360"/>
            <w:tabs>
              <w:tab w:val="right" w:leader="dot" w:pos="9026"/>
            </w:tabs>
            <w:spacing w:before="120" w:after="60"/>
          </w:pPr>
          <w:r>
            <w:t>7.2 风险提示</w:t>
          </w:r>
          <w:r>
            <w:tab/>
          </w:r>
          <w:r>
            <w:t>9</w:t>
          </w:r>
        </w:p>
        <w:p>
          <w:pPr>
            <w:pStyle w:val="TOC2"/>
            <w:ind w:left="360"/>
            <w:tabs>
              <w:tab w:val="right" w:leader="dot" w:pos="9026"/>
            </w:tabs>
            <w:spacing w:before="120" w:after="60"/>
          </w:pPr>
          <w:r>
            <w:t>7.3 反方观点检验</w:t>
          </w:r>
          <w:r>
            <w:tab/>
          </w:r>
          <w:r>
            <w:t>9</w:t>
          </w:r>
        </w:p>
        <w:p>
          <w:pPr>
            <w:pStyle w:val="TOC1"/>
            <w:tabs>
              <w:tab w:val="right" w:leader="dot" w:pos="9026"/>
            </w:tabs>
            <w:spacing w:before="120" w:after="60"/>
          </w:pPr>
          <w:r>
            <w:t>八、附录：AI投研工作台说明与数据来源</w:t>
          </w:r>
          <w:r>
            <w:tab/>
          </w:r>
          <w:r>
            <w:t>9</w:t>
          </w:r>
        </w:p>
        <w:p>
          <w:pPr>
            <w:pStyle w:val="TOC2"/>
            <w:ind w:left="360"/>
            <w:tabs>
              <w:tab w:val="right" w:leader="dot" w:pos="9026"/>
            </w:tabs>
            <w:spacing w:before="120" w:after="60"/>
          </w:pPr>
          <w:r>
            <w:t>8.1 本报告的生产方式：个人AI投研工作台</w:t>
          </w:r>
          <w:r>
            <w:tab/>
          </w:r>
          <w:r>
            <w:t>10</w:t>
          </w:r>
        </w:p>
        <w:p>
          <w:pPr>
            <w:pStyle w:val="TOC2"/>
            <w:ind w:left="360"/>
            <w:tabs>
              <w:tab w:val="right" w:leader="dot" w:pos="9026"/>
            </w:tabs>
            <w:spacing w:before="120" w:after="60"/>
          </w:pPr>
          <w:r>
            <w:t>8.2 主要数据来源</w:t>
          </w:r>
          <w:r>
            <w:tab/>
          </w:r>
          <w:r>
            <w:t>10</w:t>
          </w:r>
        </w:p>
        <w:p>
          <w:pPr>
            <w:pStyle w:val="TOC1"/>
            <w:tabs>
              <w:tab w:val="right" w:leader="dot" w:pos="9026"/>
            </w:tabs>
            <w:spacing w:before="120" w:after="60"/>
          </w:pPr>
          <w:r>
            <w:t>九、免责声明</w:t>
          </w:r>
          <w:r>
            <w:tab/>
          </w:r>
          <w:r>
            <w:t>10</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Calibri" w:eastAsia="Microsoft YaHei"/>
          <w:i/>
          <w:iCs/>
          <w:color w:val="888888"/>
          <w:sz w:val="18"/>
          <w:szCs w:val="18"/>
        </w:rPr>
        <w:t xml:space="preserve">注：本目录由域代码生成，如页码未更新，请在Word中右键目录选择“更新域”。</w:t>
      </w:r>
    </w:p>
    <w:p>
      <w:pPr>
        <w:pStyle w:val="Heading1"/>
        <w:spacing w:after="200" w:before="400" w:line="312"/>
      </w:pPr>
      <w:bookmarkStart w:name="_Toc1" w:id="1"/>
      <w:r>
        <w:rPr>
          <w:rFonts w:ascii="Calibri" w:eastAsia="SimHei"/>
          <w:b/>
          <w:bCs/>
          <w:color w:val="1A1A1A"/>
          <w:sz w:val="32"/>
          <w:szCs w:val="32"/>
        </w:rPr>
        <w:t xml:space="preserve">一、投资要点</w:t>
      </w:r>
      <w:bookmarkEnd w:id="1"/>
    </w:p>
    <w:p>
      <w:pPr>
        <w:spacing w:after="80" w:line="312"/>
        <w:ind w:firstLine="420"/>
        <w:jc w:val="both"/>
      </w:pPr>
      <w:r>
        <w:rPr>
          <w:rFonts w:ascii="Calibri" w:eastAsia="Microsoft YaHei"/>
          <w:color w:val="000000"/>
          <w:sz w:val="24"/>
          <w:szCs w:val="24"/>
        </w:rPr>
        <w:t xml:space="preserve">本报告基于个人AI投研工作台完成的全流程研究：数据采集全部溯源至公开披露（2025年年报、2026年中报为主要基准），结合DCF绝对估值与可比公司相对估值交叉验证，形成以下核心结论。</w:t>
      </w:r>
    </w:p>
    <w:p>
      <w:pPr>
        <w:spacing w:after="80" w:line="312"/>
        <w:ind w:firstLine="420"/>
        <w:jc w:val="both"/>
      </w:pPr>
      <w:r>
        <w:rPr>
          <w:rFonts w:ascii="Calibri" w:eastAsia="Microsoft YaHei"/>
          <w:b/>
          <w:bCs/>
          <w:color w:val="000000"/>
          <w:sz w:val="24"/>
          <w:szCs w:val="24"/>
        </w:rPr>
        <w:t xml:space="preserve">结论一，业绩下滑是主动选择而非被动塌陷。</w:t>
      </w:r>
      <w:r>
        <w:rPr>
          <w:rFonts w:ascii="Calibri" w:eastAsia="Microsoft YaHei"/>
          <w:color w:val="000000"/>
          <w:sz w:val="24"/>
          <w:szCs w:val="24"/>
        </w:rPr>
        <w:t xml:space="preserve">2025年营收与归母净利润双双下滑（-1.2%/-4.5%）为公司上市以来首次，但下滑主因是行业深度调整、主动控量稳价、系列酒结构调整与直销改革阵痛的叠加，而非品牌力或需求份额丢失。</w:t>
      </w:r>
    </w:p>
    <w:p>
      <w:pPr>
        <w:spacing w:after="80" w:line="312"/>
        <w:ind w:firstLine="420"/>
        <w:jc w:val="both"/>
      </w:pPr>
      <w:r>
        <w:rPr>
          <w:rFonts w:ascii="Calibri" w:eastAsia="Microsoft YaHei"/>
          <w:b/>
          <w:bCs/>
          <w:color w:val="000000"/>
          <w:sz w:val="24"/>
          <w:szCs w:val="24"/>
        </w:rPr>
        <w:t xml:space="preserve">结论二，拐点信号已现。</w:t>
      </w:r>
      <w:r>
        <w:rPr>
          <w:rFonts w:ascii="Calibri" w:eastAsia="Microsoft YaHei"/>
          <w:color w:val="000000"/>
          <w:sz w:val="24"/>
          <w:szCs w:val="24"/>
        </w:rPr>
        <w:t xml:space="preserve">飞天批价从2025年12月破发低点（散瓶1485元，首次跌破1499元指导价）回升至2026年10月的1700元上方；公司于2026年3月逆势提价（出厂价1169→1269元，+8.6%）后批价不跌反涨，是定价权完好的最直接证据；2026H1营收+1.3%转正。</w:t>
      </w:r>
    </w:p>
    <w:p>
      <w:pPr>
        <w:spacing w:after="80" w:line="312"/>
        <w:ind w:firstLine="420"/>
        <w:jc w:val="both"/>
      </w:pPr>
      <w:r>
        <w:rPr>
          <w:rFonts w:ascii="Calibri" w:eastAsia="Microsoft YaHei"/>
          <w:b/>
          <w:bCs/>
          <w:color w:val="000000"/>
          <w:sz w:val="24"/>
          <w:szCs w:val="24"/>
        </w:rPr>
        <w:t xml:space="preserve">结论三，估值目标区间1,550-1,800元，中枢1,700元。</w:t>
      </w:r>
      <w:r>
        <w:rPr>
          <w:rFonts w:ascii="Calibri" w:eastAsia="Microsoft YaHei"/>
          <w:color w:val="000000"/>
          <w:sz w:val="24"/>
          <w:szCs w:val="24"/>
        </w:rPr>
        <w:t xml:space="preserve">预计2026E-2030E归母净利润856→1,081亿元（CAGR约4.7%），2026E EPS 68.4元；DCF（WACC 7.16%、g 2.5%）每股价值约1,777元，可比估值（2026E PE 22-26倍）区间1,504-1,778元，两法在同一位置收敛。</w:t>
      </w:r>
    </w:p>
    <w:p>
      <w:pPr>
        <w:spacing w:after="80" w:line="312"/>
        <w:ind w:firstLine="420"/>
        <w:jc w:val="both"/>
      </w:pPr>
      <w:r>
        <w:rPr>
          <w:rFonts w:ascii="Calibri" w:eastAsia="Microsoft YaHei"/>
          <w:b/>
          <w:bCs/>
          <w:color w:val="000000"/>
          <w:sz w:val="24"/>
          <w:szCs w:val="24"/>
        </w:rPr>
        <w:t xml:space="preserve">结论四，安全边际充足。</w:t>
      </w:r>
      <w:r>
        <w:rPr>
          <w:rFonts w:ascii="Calibri" w:eastAsia="Microsoft YaHei"/>
          <w:color w:val="000000"/>
          <w:sz w:val="24"/>
          <w:szCs w:val="24"/>
        </w:rPr>
        <w:t xml:space="preserve">现价1,335元（2026-10-22）对应PE-TTM约19.6倍，处于近十年约2%分位；敏感性矩阵最保守角落（WACC 8.2%×g 2.0%）的每股价值仍有约1,379元，高于现价，意味着市场已计入接近永久性衰退的预期；2025年分红率79%（650亿元）提供约3.9%股息率安全垫。</w:t>
      </w:r>
    </w:p>
    <w:p>
      <w:pPr>
        <w:spacing w:after="80" w:line="312"/>
        <w:ind w:firstLine="420"/>
        <w:jc w:val="both"/>
      </w:pPr>
      <w:r>
        <w:rPr>
          <w:rFonts w:ascii="Calibri" w:eastAsia="Microsoft YaHei"/>
          <w:b/>
          <w:bCs/>
          <w:color w:val="000000"/>
          <w:sz w:val="24"/>
          <w:szCs w:val="24"/>
        </w:rPr>
        <w:t xml:space="preserve">评级与风险：</w:t>
      </w:r>
      <w:r>
        <w:rPr>
          <w:rFonts w:ascii="Calibri" w:eastAsia="Microsoft YaHei"/>
          <w:color w:val="000000"/>
          <w:sz w:val="24"/>
          <w:szCs w:val="24"/>
        </w:rPr>
        <w:t xml:space="preserve">首次覆盖给予买入评级（AI生成研究示例），主要风险：需求超预期萎缩、批价再度破发、消费税改革落地、代际消费替代。建议关注三个再评估触发点：批价站稳1,700元、2026三季报确认利润拐点、消费税政策落地后的错杀机会。</w:t>
      </w:r>
    </w:p>
    <w:p>
      <w:pPr>
        <w:pStyle w:val="Heading1"/>
        <w:spacing w:after="200" w:before="400" w:line="312"/>
      </w:pPr>
      <w:bookmarkStart w:name="_Toc2" w:id="2"/>
      <w:r>
        <w:rPr>
          <w:rFonts w:ascii="Calibri" w:eastAsia="SimHei"/>
          <w:b/>
          <w:bCs/>
          <w:color w:val="1A1A1A"/>
          <w:sz w:val="32"/>
          <w:szCs w:val="32"/>
        </w:rPr>
        <w:t xml:space="preserve">二、公司概况与基本面分析</w:t>
      </w:r>
      <w:bookmarkEnd w:id="2"/>
    </w:p>
    <w:p>
      <w:pPr>
        <w:pStyle w:val="Heading2"/>
        <w:spacing w:after="140" w:before="280" w:line="312"/>
      </w:pPr>
      <w:bookmarkStart w:name="_Toc3" w:id="3"/>
      <w:r>
        <w:rPr>
          <w:rFonts w:ascii="Calibri" w:eastAsia="SimHei"/>
          <w:b/>
          <w:bCs/>
          <w:color w:val="1A1A1A"/>
          <w:sz w:val="28"/>
          <w:szCs w:val="28"/>
        </w:rPr>
        <w:t xml:space="preserve">2.1 公司概况与商业模式</w:t>
      </w:r>
      <w:bookmarkEnd w:id="3"/>
    </w:p>
    <w:p>
      <w:pPr>
        <w:spacing w:after="80" w:line="312"/>
        <w:ind w:firstLine="420"/>
        <w:jc w:val="both"/>
      </w:pPr>
      <w:r>
        <w:rPr>
          <w:rFonts w:ascii="Calibri" w:eastAsia="Microsoft YaHei"/>
          <w:color w:val="000000"/>
          <w:sz w:val="24"/>
          <w:szCs w:val="24"/>
        </w:rPr>
        <w:t xml:space="preserve">贵州茅台酒股份有限公司（600519.SH）主营茅台酒及系列酒的生产与销售，主导产品贵州茅台酒是大曲酱香型白酒的鼻祖，集国家地理标志产品、有机食品与国家非物质文化遗产于一体，营销网络覆盖国内及五大洲66个国家和地区。其商业模式可以一句话概括：以不可复制的产区与工艺生产稀缺高端白酒，以品牌定价权获取超额利润。截至2026年10月，公司总市值约1.67万亿元，为A股消费板块第一大市值公司。</w:t>
      </w:r>
    </w:p>
    <w:p>
      <w:pPr>
        <w:pStyle w:val="Heading2"/>
        <w:spacing w:after="140" w:before="280" w:line="312"/>
      </w:pPr>
      <w:bookmarkStart w:name="_Toc4" w:id="4"/>
      <w:r>
        <w:rPr>
          <w:rFonts w:ascii="Calibri" w:eastAsia="SimHei"/>
          <w:b/>
          <w:bCs/>
          <w:color w:val="1A1A1A"/>
          <w:sz w:val="28"/>
          <w:szCs w:val="28"/>
        </w:rPr>
        <w:t xml:space="preserve">2.2 成长性：八年双位数增长后的首次回落</w:t>
      </w:r>
      <w:bookmarkEnd w:id="4"/>
    </w:p>
    <w:p>
      <w:pPr>
        <w:spacing w:after="80" w:line="312"/>
        <w:ind w:firstLine="420"/>
        <w:jc w:val="both"/>
      </w:pPr>
      <w:r>
        <w:rPr>
          <w:rFonts w:ascii="Calibri" w:eastAsia="Microsoft YaHei"/>
          <w:color w:val="000000"/>
          <w:sz w:val="24"/>
          <w:szCs w:val="24"/>
        </w:rPr>
        <w:t xml:space="preserve">2017-2024年公司归母净利润连续八年保持双位数增长，2025年营业总收入1,720.5亿元（-1.2%）、归母净利润823.2亿元（-4.5%），为上市以来首次双下滑。从节奏看，2025年前三季度仍增长约6%，第四季单季净利润176.9亿元、同比下降约30%，是全年转负的主因——公司在行业深度调整期主动控货稳价、为渠道减负，把压力留在自己报表内。2026年上半年营收922.8亿元（+1.3%）、归母净利润445.2亿元（-2.0%），收入端已企稳，其中Q1收入+6.3%、经营现金流大增205%。</w:t>
      </w:r>
    </w:p>
    <w:p>
      <w:pPr>
        <w:keepNext/>
        <w:spacing w:after="60" w:before="160"/>
      </w:pPr>
      <w:r>
        <w:rPr>
          <w:rFonts w:ascii="Calibri" w:eastAsia="Microsoft YaHei"/>
          <w:b/>
          <w:bCs/>
          <w:color w:val="6B6B6B"/>
          <w:sz w:val="20"/>
          <w:szCs w:val="20"/>
        </w:rPr>
        <w:t xml:space="preserve">表1  贵州茅台历史财务摘要（2021-2025年报及2026中报）</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933"/>
        <w:gridCol w:w="1142"/>
        <w:gridCol w:w="1142"/>
        <w:gridCol w:w="1142"/>
        <w:gridCol w:w="1142"/>
        <w:gridCol w:w="1142"/>
        <w:gridCol w:w="1142"/>
      </w:tblGrid>
      <w:tr>
        <w:trPr>
          <w:cantSplit/>
          <w:tblHeader/>
        </w:trPr>
        <w:tc>
          <w:tcPr>
            <w:tcW w:type="pct" w:w="11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指标</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2021A</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2022A</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2023A</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2024A</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2025A</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2026H1</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营业总收入（亿元）</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1,094.6</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1,275.5</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1,505.6</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1,741.4</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1,720.5</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922.8</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同比增速</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+11.7%</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+16.5%</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+18.0%</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+15.7%</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-1.2%</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+1.3%</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归母净利润（亿元）</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524.6</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627.2</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747.3</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862.3</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823.2</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445.2</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同比增速</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+12.3%</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+19.6%</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+19.2%</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+15.4%</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-4.5%</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-2.0%</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EPS（元）</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59.49</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68.64</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65.66</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加权ROE</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34.2%</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36.0%</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32.5%</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经营现金流（亿元）</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665.9</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924.6</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615.2</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r>
    </w:tbl>
    <w:p>
      <w:pPr>
        <w:spacing w:after="160" w:before="40" w:line="280"/>
        <w:jc w:val="left"/>
      </w:pPr>
      <w:r>
        <w:rPr>
          <w:rFonts w:ascii="Calibri" w:eastAsia="Microsoft YaHei"/>
          <w:i/>
          <w:iCs/>
          <w:color w:val="888888"/>
          <w:sz w:val="18"/>
          <w:szCs w:val="18"/>
        </w:rPr>
        <w:t xml:space="preserve">数据来源：公司历年年度报告、2026年半年度报告；营业总收入=营业收入+利息收入等。</w:t>
      </w:r>
    </w:p>
    <w:p>
      <w:pPr>
        <w:keepNext/>
        <w:spacing w:before="120"/>
        <w:jc w:val="center"/>
      </w:pPr>
      <w:r>
        <w:drawing>
          <wp:inline distT="0" distB="0" distL="0" distR="0">
            <wp:extent cx="5334000" cy="29813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81325"/>
                    </a:xfrm>
                    <a:prstGeom prst="rect">
                      <a:avLst/>
                    </a:prstGeom>
                  </pic:spPr>
                </pic:pic>
              </a:graphicData>
            </a:graphic>
          </wp:inline>
        </w:drawing>
      </w:r>
    </w:p>
    <w:p>
      <w:pPr>
        <w:spacing w:after="40" w:before="60"/>
        <w:jc w:val="center"/>
      </w:pPr>
      <w:r>
        <w:rPr>
          <w:rFonts w:ascii="Calibri" w:eastAsia="Microsoft YaHei"/>
          <w:b/>
          <w:bCs/>
          <w:color w:val="6B6B6B"/>
          <w:sz w:val="20"/>
          <w:szCs w:val="20"/>
        </w:rPr>
        <w:t xml:space="preserve">图1  营业总收入与归母净利润（2021-2026E）</w:t>
      </w:r>
    </w:p>
    <w:p>
      <w:pPr>
        <w:pStyle w:val="Heading2"/>
        <w:spacing w:after="140" w:before="280" w:line="312"/>
      </w:pPr>
      <w:bookmarkStart w:name="_Toc5" w:id="5"/>
      <w:r>
        <w:rPr>
          <w:rFonts w:ascii="Calibri" w:eastAsia="SimHei"/>
          <w:b/>
          <w:bCs/>
          <w:color w:val="1A1A1A"/>
          <w:sz w:val="28"/>
          <w:szCs w:val="28"/>
        </w:rPr>
        <w:t xml:space="preserve">2.3 盈利能力与现金流质量</w:t>
      </w:r>
      <w:bookmarkEnd w:id="5"/>
    </w:p>
    <w:p>
      <w:pPr>
        <w:spacing w:after="80" w:line="312"/>
        <w:ind w:firstLine="420"/>
        <w:jc w:val="both"/>
      </w:pPr>
      <w:r>
        <w:rPr>
          <w:rFonts w:ascii="Calibri" w:eastAsia="Microsoft YaHei"/>
          <w:color w:val="000000"/>
          <w:sz w:val="24"/>
          <w:szCs w:val="24"/>
        </w:rPr>
        <w:t xml:space="preserve">2025年酒类整体毛利率91.2%，其中茅台酒93.5%、直销渠道94.6%，仍是白酒行业的天花板级利；归母净利率约47.8%，即每销售100元酒实现约48元净利润。加权ROE 32.5%，虽较高点回落仍处A股顶端。费用端呈现“一增一减”：销售费用72.5亿元（+28.6%）投向“全面向C”战略，管理费用83.2亿元（-10.7%）控制良好。经营现金流615.2亿元（-33.5%）的下降主要系财务公司吸收存款及同业存款结构变化所致（年报原文说明），并非主业经营恶化。</w:t>
      </w:r>
    </w:p>
    <w:p>
      <w:pPr>
        <w:pStyle w:val="Heading2"/>
        <w:spacing w:after="140" w:before="280" w:line="312"/>
      </w:pPr>
      <w:bookmarkStart w:name="_Toc6" w:id="6"/>
      <w:r>
        <w:rPr>
          <w:rFonts w:ascii="Calibri" w:eastAsia="SimHei"/>
          <w:b/>
          <w:bCs/>
          <w:color w:val="1A1A1A"/>
          <w:sz w:val="28"/>
          <w:szCs w:val="28"/>
        </w:rPr>
        <w:t xml:space="preserve">2.4 业务结构：产品、渠道与区域的三重结构变化</w:t>
      </w:r>
      <w:bookmarkEnd w:id="6"/>
    </w:p>
    <w:p>
      <w:pPr>
        <w:spacing w:after="80" w:line="312"/>
        <w:ind w:firstLine="420"/>
        <w:jc w:val="both"/>
      </w:pPr>
      <w:r>
        <w:rPr>
          <w:rFonts w:ascii="Calibri" w:eastAsia="Microsoft YaHei"/>
          <w:color w:val="000000"/>
          <w:sz w:val="24"/>
          <w:szCs w:val="24"/>
        </w:rPr>
        <w:t xml:space="preserve">2025年茅台酒收入1,465.0亿元（+0.4%，占比86.8%）稳如磐石；系列酒222.7亿元（-9.8%）主动砍低端重塑产品结构。更具结构意义的是渠道变革：直销收入845.4亿元（+13.0%）、批发代理842.3亿元（-12.1%），直销占比首次过半（50.1%）；直销吨价约397.8万元/吨，约为批发渠道（131.9万元/吨）的三倍，每替代一吨批发为直销即实现结构性增收增利。i茅台收入130.3亿元（-34.9%）系主动收缩平价放量、挤出黄牛套利，转向市场化定价产品矩阵。海外收入48.5亿元（-6.5%）基数低，国际化为长期看点。</w:t>
      </w:r>
    </w:p>
    <w:p>
      <w:pPr>
        <w:keepNext/>
        <w:spacing w:after="60" w:before="160"/>
      </w:pPr>
      <w:r>
        <w:rPr>
          <w:rFonts w:ascii="Calibri" w:eastAsia="Microsoft YaHei"/>
          <w:b/>
          <w:bCs/>
          <w:color w:val="6B6B6B"/>
          <w:sz w:val="20"/>
          <w:szCs w:val="20"/>
        </w:rPr>
        <w:t xml:space="preserve">表2  2025年业务结构拆分（年报口径）</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285"/>
        <w:gridCol w:w="1494"/>
        <w:gridCol w:w="1142"/>
        <w:gridCol w:w="1142"/>
        <w:gridCol w:w="2724"/>
      </w:tblGrid>
      <w:tr>
        <w:trPr>
          <w:cantSplit/>
          <w:tblHeader/>
        </w:trPr>
        <w:tc>
          <w:tcPr>
            <w:tcW w:type="pct" w:w="13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维度</w:t>
            </w:r>
          </w:p>
        </w:tc>
        <w:tc>
          <w:tcPr>
            <w:tcW w:type="pct" w:w="8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收入（亿元）</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同比</w:t>
            </w:r>
          </w:p>
        </w:tc>
        <w:tc>
          <w:tcPr>
            <w:tcW w:type="pct" w:w="6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毛利率</w:t>
            </w:r>
          </w:p>
        </w:tc>
        <w:tc>
          <w:tcPr>
            <w:tcW w:type="pct" w:w="155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备注</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茅台酒</w:t>
            </w:r>
          </w:p>
        </w:tc>
        <w:tc>
          <w:tcPr>
            <w:tcW w:type="pct" w:w="8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1,465.0</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+0.4%</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93.5%</w:t>
            </w:r>
          </w:p>
        </w:tc>
        <w:tc>
          <w:tcPr>
            <w:tcW w:type="pct" w:w="15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占酒类收入86.8%</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系列酒</w:t>
            </w:r>
          </w:p>
        </w:tc>
        <w:tc>
          <w:tcPr>
            <w:tcW w:type="pct" w:w="8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222.7</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-9.8%</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76.1%</w:t>
            </w:r>
          </w:p>
        </w:tc>
        <w:tc>
          <w:tcPr>
            <w:tcW w:type="pct" w:w="15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产品结构主动调整</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直销（自营+i茅台）</w:t>
            </w:r>
          </w:p>
        </w:tc>
        <w:tc>
          <w:tcPr>
            <w:tcW w:type="pct" w:w="8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845.4</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+13.0%</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94.6%</w:t>
            </w:r>
          </w:p>
        </w:tc>
        <w:tc>
          <w:tcPr>
            <w:tcW w:type="pct" w:w="15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占比首次过半；销量+16.6%</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批发代理</w:t>
            </w:r>
          </w:p>
        </w:tc>
        <w:tc>
          <w:tcPr>
            <w:tcW w:type="pct" w:w="8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842.3</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-12.1%</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87.9%</w:t>
            </w:r>
          </w:p>
        </w:tc>
        <w:tc>
          <w:tcPr>
            <w:tcW w:type="pct" w:w="15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主动控量稳价</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国内</w:t>
            </w:r>
          </w:p>
        </w:tc>
        <w:tc>
          <w:tcPr>
            <w:tcW w:type="pct" w:w="8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1,639.2</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-0.9%</w:t>
            </w:r>
          </w:p>
        </w:tc>
        <w:tc>
          <w:tcPr>
            <w:tcW w:type="pct" w:w="6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91.2%</w:t>
            </w:r>
          </w:p>
        </w:tc>
        <w:tc>
          <w:tcPr>
            <w:tcW w:type="pct" w:w="155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占比97.1%</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国外</w:t>
            </w:r>
          </w:p>
        </w:tc>
        <w:tc>
          <w:tcPr>
            <w:tcW w:type="pct" w:w="8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48.5</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-6.5%</w:t>
            </w:r>
          </w:p>
        </w:tc>
        <w:tc>
          <w:tcPr>
            <w:tcW w:type="pct" w:w="6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91.7%</w:t>
            </w:r>
          </w:p>
        </w:tc>
        <w:tc>
          <w:tcPr>
            <w:tcW w:type="pct" w:w="155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占比2.9%</w:t>
            </w:r>
          </w:p>
        </w:tc>
      </w:tr>
    </w:tbl>
    <w:p>
      <w:pPr>
        <w:spacing w:after="160" w:before="40" w:line="280"/>
        <w:jc w:val="left"/>
      </w:pPr>
      <w:r>
        <w:rPr>
          <w:rFonts w:ascii="Calibri" w:eastAsia="Microsoft YaHei"/>
          <w:i/>
          <w:iCs/>
          <w:color w:val="888888"/>
          <w:sz w:val="18"/>
          <w:szCs w:val="18"/>
        </w:rPr>
        <w:t xml:space="preserve">数据来源：贵州茅台2025年年度报告第十、十八页；销量：酒类合计8.51万吨（+2.1%），库存量34.0万吨（+9.7%）。</w:t>
      </w:r>
    </w:p>
    <w:p>
      <w:pPr>
        <w:keepNext/>
        <w:spacing w:before="120"/>
        <w:jc w:val="center"/>
      </w:pPr>
      <w:r>
        <w:drawing>
          <wp:inline distT="0" distB="0" distL="0" distR="0">
            <wp:extent cx="4572000" cy="29146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14650"/>
                    </a:xfrm>
                    <a:prstGeom prst="rect">
                      <a:avLst/>
                    </a:prstGeom>
                  </pic:spPr>
                </pic:pic>
              </a:graphicData>
            </a:graphic>
          </wp:inline>
        </w:drawing>
      </w:r>
    </w:p>
    <w:p>
      <w:pPr>
        <w:spacing w:after="40" w:before="60"/>
        <w:jc w:val="center"/>
      </w:pPr>
      <w:r>
        <w:rPr>
          <w:rFonts w:ascii="Calibri" w:eastAsia="Microsoft YaHei"/>
          <w:b/>
          <w:bCs/>
          <w:color w:val="6B6B6B"/>
          <w:sz w:val="20"/>
          <w:szCs w:val="20"/>
        </w:rPr>
        <w:t xml:space="preserve">图2  渠道结构：直销占比首次过半（2024 vs 2025）</w:t>
      </w:r>
    </w:p>
    <w:p>
      <w:pPr>
        <w:pStyle w:val="Heading1"/>
        <w:spacing w:after="200" w:before="400" w:line="312"/>
      </w:pPr>
      <w:bookmarkStart w:name="_Toc7" w:id="7"/>
      <w:r>
        <w:rPr>
          <w:rFonts w:ascii="Calibri" w:eastAsia="SimHei"/>
          <w:b/>
          <w:bCs/>
          <w:color w:val="1A1A1A"/>
          <w:sz w:val="32"/>
          <w:szCs w:val="32"/>
        </w:rPr>
        <w:t xml:space="preserve">三、行业分析：缩量时代的存量博弈</w:t>
      </w:r>
      <w:bookmarkEnd w:id="7"/>
    </w:p>
    <w:p>
      <w:pPr>
        <w:pStyle w:val="Heading2"/>
        <w:spacing w:after="140" w:before="280" w:line="312"/>
      </w:pPr>
      <w:bookmarkStart w:name="_Toc8" w:id="8"/>
      <w:r>
        <w:rPr>
          <w:rFonts w:ascii="Calibri" w:eastAsia="SimHei"/>
          <w:b/>
          <w:bCs/>
          <w:color w:val="1A1A1A"/>
          <w:sz w:val="28"/>
          <w:szCs w:val="28"/>
        </w:rPr>
        <w:t xml:space="preserve">3.1 行业空间与本轮调整的性质</w:t>
      </w:r>
      <w:bookmarkEnd w:id="8"/>
    </w:p>
    <w:p>
      <w:pPr>
        <w:spacing w:after="80" w:line="312"/>
        <w:ind w:firstLine="420"/>
        <w:jc w:val="both"/>
      </w:pPr>
      <w:r>
        <w:rPr>
          <w:rFonts w:ascii="Calibri" w:eastAsia="Microsoft YaHei"/>
          <w:color w:val="000000"/>
          <w:sz w:val="24"/>
          <w:szCs w:val="24"/>
        </w:rPr>
        <w:t xml:space="preserve">2025年全国规上白酒企业产量354.9万千升、同比-12.1%，连续第九年下滑；相较产量峰值（2016年约1,358万千升）缩水约三宋四。白酒已从“量的生意”彻底转向“价与份额的生意”。本轮调整（2024Q4至今）的剧烈程度可以用三个数据概括：20家上市酒企2025年前三季度营收-5.9%、净利-6.9%，被称为十年来最惨三季报；行业平均存货周转天数约900天（+10%）；飞天批价2025年12月首次跌破官方指导价。但价格信号在2026年发生了关键变化：茅台于3月底逆势提价8.6%后，批价不跌反涨、7月站稳1,700元，行业最恐慌阶段大概率已过。</w:t>
      </w:r>
    </w:p>
    <w:p>
      <w:pPr>
        <w:keepNext/>
        <w:spacing w:before="120"/>
        <w:jc w:val="center"/>
      </w:pPr>
      <w:r>
        <w:drawing>
          <wp:inline distT="0" distB="0" distL="0" distR="0">
            <wp:extent cx="5334000" cy="29813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81325"/>
                    </a:xfrm>
                    <a:prstGeom prst="rect">
                      <a:avLst/>
                    </a:prstGeom>
                  </pic:spPr>
                </pic:pic>
              </a:graphicData>
            </a:graphic>
          </wp:inline>
        </w:drawing>
      </w:r>
    </w:p>
    <w:p>
      <w:pPr>
        <w:spacing w:after="40" w:before="60"/>
        <w:jc w:val="center"/>
      </w:pPr>
      <w:r>
        <w:rPr>
          <w:rFonts w:ascii="Calibri" w:eastAsia="Microsoft YaHei"/>
          <w:b/>
          <w:bCs/>
          <w:color w:val="6B6B6B"/>
          <w:sz w:val="20"/>
          <w:szCs w:val="20"/>
        </w:rPr>
        <w:t xml:space="preserve">图3  全国规上白酒产量连续九年下滑（2016-2025）</w:t>
      </w:r>
    </w:p>
    <w:p>
      <w:pPr>
        <w:keepNext/>
        <w:spacing w:before="120"/>
        <w:jc w:val="center"/>
      </w:pPr>
      <w:r>
        <w:drawing>
          <wp:inline distT="0" distB="0" distL="0" distR="0">
            <wp:extent cx="5334000" cy="29813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40" w:before="60"/>
        <w:jc w:val="center"/>
      </w:pPr>
      <w:r>
        <w:rPr>
          <w:rFonts w:ascii="Calibri" w:eastAsia="Microsoft YaHei"/>
          <w:b/>
          <w:bCs/>
          <w:color w:val="6B6B6B"/>
          <w:sz w:val="20"/>
          <w:szCs w:val="20"/>
        </w:rPr>
        <w:t xml:space="preserve">图4  飞天批价与出厂价：从破发到站稳1,700元</w:t>
      </w:r>
    </w:p>
    <w:p>
      <w:pPr>
        <w:pStyle w:val="Heading2"/>
        <w:spacing w:after="140" w:before="280" w:line="312"/>
      </w:pPr>
      <w:bookmarkStart w:name="_Toc9" w:id="9"/>
      <w:r>
        <w:rPr>
          <w:rFonts w:ascii="Calibri" w:eastAsia="SimHei"/>
          <w:b/>
          <w:bCs/>
          <w:color w:val="1A1A1A"/>
          <w:sz w:val="28"/>
          <w:szCs w:val="28"/>
        </w:rPr>
        <w:t xml:space="preserve">3.2 竞争格局：马太效应加速分化</w:t>
      </w:r>
      <w:bookmarkEnd w:id="9"/>
    </w:p>
    <w:p>
      <w:pPr>
        <w:spacing w:after="80" w:line="312"/>
        <w:ind w:firstLine="420"/>
        <w:jc w:val="both"/>
      </w:pPr>
      <w:r>
        <w:rPr>
          <w:rFonts w:ascii="Calibri" w:eastAsia="Microsoft YaHei"/>
          <w:color w:val="000000"/>
          <w:sz w:val="24"/>
          <w:szCs w:val="24"/>
        </w:rPr>
        <w:t xml:space="preserve">行业下行期是护城河的压力测试：2025年报及2026中报口径，茅台收入-1.2%基本稳住，山西汾酒2025年仍增长但2026H1转跌（收入-12.2%、净利-24.3%），洋河2026H1收入-28.8%，泸州老窖2026H1净利-36.4%，五粮液因会计口径调整表观降幅最大。茅台在20家上市酒企中的利润占比约五成——一半的行业利润归茅台。公司年报对行业的定调是：“马太效应愈发凸显，资源将进一步向优势企业、优势品牌、优势产品集中”。对茅台而言，调整期实为份额收割期：千元带竞品（普五、国窖1573）批价倒挂、利润腰斩，而茅台借提价与直销改革扩大价差优势。</w:t>
      </w:r>
    </w:p>
    <w:p>
      <w:pPr>
        <w:pStyle w:val="Heading2"/>
        <w:spacing w:after="140" w:before="280" w:line="312"/>
      </w:pPr>
      <w:bookmarkStart w:name="_Toc10" w:id="10"/>
      <w:r>
        <w:rPr>
          <w:rFonts w:ascii="Calibri" w:eastAsia="SimHei"/>
          <w:b/>
          <w:bCs/>
          <w:color w:val="1A1A1A"/>
          <w:sz w:val="28"/>
          <w:szCs w:val="28"/>
        </w:rPr>
        <w:t xml:space="preserve">3.3 需求侧长期变量与政策环境</w:t>
      </w:r>
      <w:bookmarkEnd w:id="10"/>
    </w:p>
    <w:p>
      <w:pPr>
        <w:spacing w:after="80" w:line="312"/>
        <w:ind w:firstLine="420"/>
        <w:jc w:val="both"/>
      </w:pPr>
      <w:r>
        <w:rPr>
          <w:rFonts w:ascii="Calibri" w:eastAsia="Microsoft YaHei"/>
          <w:color w:val="000000"/>
          <w:sz w:val="24"/>
          <w:szCs w:val="24"/>
        </w:rPr>
        <w:t xml:space="preserve">政策面，2026年中央经济工作会议定调“坚持内需主导、深入实施提振消费专项行动”，“十五五”规划提出2035年人均GDP达到中等发达国家水平，商务消费场景修复的宏观基础存在；消费税征收环节后移的改革讨论长期存在但尚未落地，是需跟踪的政策风险点。长期看，主力消费人群总量见顶回落与年轻人白酒饮用率下降是行业缩量的根本原因，但高端白酒的社交货币属性（宴请、礼品、收藏）短期无法替代，且高端酒兼具消费品与类资产属性，批价是行业景气度最灵敏的先行指标。</w:t>
      </w:r>
    </w:p>
    <w:p>
      <w:pPr>
        <w:pStyle w:val="Heading1"/>
        <w:spacing w:after="200" w:before="400" w:line="312"/>
      </w:pPr>
      <w:bookmarkStart w:name="_Toc11" w:id="11"/>
      <w:r>
        <w:rPr>
          <w:rFonts w:ascii="Calibri" w:eastAsia="SimHei"/>
          <w:b/>
          <w:bCs/>
          <w:color w:val="1A1A1A"/>
          <w:sz w:val="32"/>
          <w:szCs w:val="32"/>
        </w:rPr>
        <w:t xml:space="preserve">四、核心竞争力分析</w:t>
      </w:r>
      <w:bookmarkEnd w:id="11"/>
    </w:p>
    <w:p>
      <w:pPr>
        <w:pStyle w:val="Heading2"/>
        <w:spacing w:after="140" w:before="280" w:line="312"/>
      </w:pPr>
      <w:bookmarkStart w:name="_Toc12" w:id="12"/>
      <w:r>
        <w:rPr>
          <w:rFonts w:ascii="Calibri" w:eastAsia="SimHei"/>
          <w:b/>
          <w:bCs/>
          <w:color w:val="1A1A1A"/>
          <w:sz w:val="28"/>
          <w:szCs w:val="28"/>
        </w:rPr>
        <w:t xml:space="preserve">4.1 品牌与定价权：最硬的护城河</w:t>
      </w:r>
      <w:bookmarkEnd w:id="12"/>
    </w:p>
    <w:p>
      <w:pPr>
        <w:spacing w:after="80" w:line="312"/>
        <w:ind w:firstLine="420"/>
        <w:jc w:val="both"/>
      </w:pPr>
      <w:r>
        <w:rPr>
          <w:rFonts w:ascii="Calibri" w:eastAsia="Microsoft YaHei"/>
          <w:color w:val="000000"/>
          <w:sz w:val="24"/>
          <w:szCs w:val="24"/>
        </w:rPr>
        <w:t xml:space="preserve">茅台的定价权有三重实证。其一，在业绩下滑的2025年，品牌价值仍增长16.5%至583.8亿美元，连年稳居Brand Finance中国品牌价值500强烈酒板块首位，品牌强度AAA+。其二，在行业深度调整期逆势提价8.6%且渠道接受、批价不跌反涨——同期普五、国窖1573被迫随行就市，能在下行周期提价成功是定价权存在的最直接证据。其三，当前批价约1,700元对出厂价1,269元仍有约34%渠道利差安全垫，即便批价再跌两成，经销商仍有利润，出厂价安全垫极厚。飞天亦是全球唯一单品营收过千亿的烈酒产品。</w:t>
      </w:r>
    </w:p>
    <w:p>
      <w:pPr>
        <w:pStyle w:val="Heading2"/>
        <w:spacing w:after="140" w:before="280" w:line="312"/>
      </w:pPr>
      <w:bookmarkStart w:name="_Toc13" w:id="13"/>
      <w:r>
        <w:rPr>
          <w:rFonts w:ascii="Calibri" w:eastAsia="SimHei"/>
          <w:b/>
          <w:bCs/>
          <w:color w:val="1A1A1A"/>
          <w:sz w:val="28"/>
          <w:szCs w:val="28"/>
        </w:rPr>
        <w:t xml:space="preserve">4.2 稀缺产能与工艺壁垒：物理护城河</w:t>
      </w:r>
      <w:bookmarkEnd w:id="13"/>
    </w:p>
    <w:p>
      <w:pPr>
        <w:spacing w:after="80" w:line="312"/>
        <w:ind w:firstLine="420"/>
        <w:jc w:val="both"/>
      </w:pPr>
      <w:r>
        <w:rPr>
          <w:rFonts w:ascii="Calibri" w:eastAsia="Microsoft YaHei"/>
          <w:color w:val="000000"/>
          <w:sz w:val="24"/>
          <w:szCs w:val="24"/>
        </w:rPr>
        <w:t xml:space="preserve">茅台镇核心产区的地形、气候、赤水河水源与微生物菌落群无法复制，离开产区雷不出茅台。工艺周期壁垒同样关键：一年生产周期、五年方可出厂，竞争者即便复制工艺也需等待五年以上且受产区约束。2025年茅台酒基酒设计产能46,395吨，仅占全国白酒产量约1.3%，稀缺供给本身就是定价权的基础。在建三大项目（茅台酒“十四五”技改155亿、三万吨系列酒技改102亿、习水同民坝41亿）保障未来产能成长。尤其值得关注的是库存：库存量34.0万吨（+9.7%）按成本计价，而酱香基酒随年限增值，构成远超账面价值的隐蔽资产；五年生产周期决定了未来可售量由五年前基酒产量锁定，2021-2025年基酒产量逐年增长，意味着未来五年可售量有确定性增长空间——量的逻辑不靠需求假设、靠工艺周期锁定。</w:t>
      </w:r>
    </w:p>
    <w:p>
      <w:pPr>
        <w:pStyle w:val="Heading2"/>
        <w:spacing w:after="140" w:before="280" w:line="312"/>
      </w:pPr>
      <w:bookmarkStart w:name="_Toc14" w:id="14"/>
      <w:r>
        <w:rPr>
          <w:rFonts w:ascii="Calibri" w:eastAsia="SimHei"/>
          <w:b/>
          <w:bCs/>
          <w:color w:val="1A1A1A"/>
          <w:sz w:val="28"/>
          <w:szCs w:val="28"/>
        </w:rPr>
        <w:t xml:space="preserve">4.3 渠道控制力与财务质量：正在增强的护城河</w:t>
      </w:r>
      <w:bookmarkEnd w:id="14"/>
    </w:p>
    <w:p>
      <w:pPr>
        <w:spacing w:after="80" w:line="312"/>
        <w:ind w:firstLine="420"/>
        <w:jc w:val="both"/>
      </w:pPr>
      <w:r>
        <w:rPr>
          <w:rFonts w:ascii="Calibri" w:eastAsia="Microsoft YaHei"/>
          <w:color w:val="000000"/>
          <w:sz w:val="24"/>
          <w:szCs w:val="24"/>
        </w:rPr>
        <w:t xml:space="preserve">直销占比突破50%、i茅台数字化直连C端、“批发+线下零售+线上零售+餐饮+私域”五大渠道布局，使公司对渠道的控制力持续增强，渠道利润内化直接抬升整体盈利能力。财务质量是护城河的报表表达：毛利率91%+、净利率约48%、无有息负债、经营现金流常年不低于净利润量级。股东回报已成A股标杆：2024-2026年分红规划承诺分红率不低于75%，2025年实际派发650.3亿元、分红率79%创历史新高；首次60亿元回购注销已完成并启动第二轮。需要提示的治理风险在于：国资控股背景下提价与放量决策需平衡多重目标，市场化程度弱于民企。</w:t>
      </w:r>
    </w:p>
    <w:p>
      <w:pPr>
        <w:pStyle w:val="Heading1"/>
        <w:spacing w:after="200" w:before="400" w:line="312"/>
      </w:pPr>
      <w:bookmarkStart w:name="_Toc15" w:id="15"/>
      <w:r>
        <w:rPr>
          <w:rFonts w:ascii="Calibri" w:eastAsia="SimHei"/>
          <w:b/>
          <w:bCs/>
          <w:color w:val="1A1A1A"/>
          <w:sz w:val="32"/>
          <w:szCs w:val="32"/>
        </w:rPr>
        <w:t xml:space="preserve">五、盈利预测</w:t>
      </w:r>
      <w:bookmarkEnd w:id="15"/>
    </w:p>
    <w:p>
      <w:pPr>
        <w:pStyle w:val="Heading2"/>
        <w:spacing w:after="140" w:before="280" w:line="312"/>
      </w:pPr>
      <w:bookmarkStart w:name="_Toc16" w:id="16"/>
      <w:r>
        <w:rPr>
          <w:rFonts w:ascii="Calibri" w:eastAsia="SimHei"/>
          <w:b/>
          <w:bCs/>
          <w:color w:val="1A1A1A"/>
          <w:sz w:val="28"/>
          <w:szCs w:val="28"/>
        </w:rPr>
        <w:t xml:space="preserve">5.1 关键假设</w:t>
      </w:r>
      <w:bookmarkEnd w:id="16"/>
    </w:p>
    <w:p>
      <w:pPr>
        <w:spacing w:after="80" w:line="312"/>
        <w:ind w:firstLine="420"/>
        <w:jc w:val="both"/>
      </w:pPr>
      <w:r>
        <w:rPr>
          <w:rFonts w:ascii="Calibri" w:eastAsia="Microsoft YaHei"/>
          <w:color w:val="000000"/>
          <w:sz w:val="24"/>
          <w:szCs w:val="24"/>
        </w:rPr>
        <w:t xml:space="preserve">收入端按茅台酒/系列酒/其他三条线独立建模。2026E茅台酒+4.0%：上半年实际持平（777亿元），下半年提价满效应叠加2025H2控货低基数（隐含下半年收入+9%左右）；2027-2030年增速逐年递减（6.2%/5.5%/4.5%/3.5%），反映提价满年效应、直销结构改善与行业拥有169%）逐步收敛至稳态。海下两次上调（含2026年7月i茅台零售价上调）未计入基准情形，构成上行期权。利润端，归母净利率由2025年47.8%逐年升至2030年49.8%：出厂价提价几乎全额落入利润，直销吨价上行的结构性增利大于“全面向C”的费用投入（2026E销售费用假设+12%）。</w:t>
      </w:r>
    </w:p>
    <w:p>
      <w:pPr>
        <w:pStyle w:val="Heading2"/>
        <w:spacing w:after="140" w:before="280" w:line="312"/>
      </w:pPr>
      <w:bookmarkStart w:name="_Toc17" w:id="17"/>
      <w:r>
        <w:rPr>
          <w:rFonts w:ascii="Calibri" w:eastAsia="SimHei"/>
          <w:b/>
          <w:bCs/>
          <w:color w:val="1A1A1A"/>
          <w:sz w:val="28"/>
          <w:szCs w:val="28"/>
        </w:rPr>
        <w:t xml:space="preserve">5.2 预测结果</w:t>
      </w:r>
      <w:bookmarkEnd w:id="17"/>
    </w:p>
    <w:p>
      <w:pPr>
        <w:keepNext/>
        <w:spacing w:after="60" w:before="160"/>
      </w:pPr>
      <w:r>
        <w:rPr>
          <w:rFonts w:ascii="Calibri" w:eastAsia="Microsoft YaHei"/>
          <w:b/>
          <w:bCs/>
          <w:color w:val="6B6B6B"/>
          <w:sz w:val="20"/>
          <w:szCs w:val="20"/>
        </w:rPr>
        <w:t xml:space="preserve">表3  盈利预测汇总（2025A-2030E）</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285"/>
        <w:gridCol w:w="1055"/>
        <w:gridCol w:w="1055"/>
        <w:gridCol w:w="1055"/>
        <w:gridCol w:w="1055"/>
        <w:gridCol w:w="1055"/>
        <w:gridCol w:w="1230"/>
      </w:tblGrid>
      <w:tr>
        <w:trPr>
          <w:cantSplit/>
          <w:tblHeader/>
        </w:trPr>
        <w:tc>
          <w:tcPr>
            <w:tcW w:type="pct" w:w="13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项目（亿元）</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2025A</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2026E</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2027E</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2028E</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2029E</w:t>
            </w:r>
          </w:p>
        </w:tc>
        <w:tc>
          <w:tcPr>
            <w:tcW w:type="pct" w:w="7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2030E</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营业总收入</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1,720.5</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1,783.8</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1,892.9</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1,999.8</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2,092.6</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2,169.7</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同比</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-1.2%</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+3.7%</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+6.1%</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+5.7%</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+4.6%</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+3.7%</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茅台酒收入</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1,465.0</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1,523.6</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1,618.1</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1,707.1</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1,783.9</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1,846.3</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系列酒收入</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222.7</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227.2</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240.8</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257.7</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272.6</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286.3</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归母净利润</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823.2</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856.2</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931.3</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989.9</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1,040.0</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1,080.5</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同比</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-4.5%</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+4.0%</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+8.8%</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+6.3%</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+5.1%</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+3.9%</w:t>
            </w:r>
          </w:p>
        </w:tc>
      </w:tr>
      <w:tr>
        <w:trPr>
          <w:cantSplit/>
        </w:trPr>
        <w:tc>
          <w:tcPr>
            <w:tcW w:type="pct" w:w="13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归母净利率</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47.8%</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48.0%</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49.2%</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49.5%</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49.7%</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49.8%</w:t>
            </w:r>
          </w:p>
        </w:tc>
      </w:tr>
      <w:tr>
        <w:trPr>
          <w:cantSplit/>
        </w:trPr>
        <w:tc>
          <w:tcPr>
            <w:tcW w:type="pct" w:w="13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EPS（元，12.523亿股）</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65.66</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68.4</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74.4</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79.0</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83.1</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86.3</w:t>
            </w:r>
          </w:p>
        </w:tc>
      </w:tr>
    </w:tbl>
    <w:p>
      <w:pPr>
        <w:spacing w:after="160" w:before="40" w:line="280"/>
        <w:jc w:val="left"/>
      </w:pPr>
      <w:r>
        <w:rPr>
          <w:rFonts w:ascii="Calibri" w:eastAsia="Microsoft YaHei"/>
          <w:i/>
          <w:iCs/>
          <w:color w:val="888888"/>
          <w:sz w:val="18"/>
          <w:szCs w:val="18"/>
        </w:rPr>
        <w:t xml:space="preserve">预测为情景假设推演，完整参数及公式驱动的可交互模型见随附Excel估值模型（修改蓝色假设单元格即自动重算）。</w:t>
      </w:r>
    </w:p>
    <w:p>
      <w:pPr>
        <w:spacing w:after="80" w:line="312"/>
        <w:ind w:firstLine="420"/>
        <w:jc w:val="both"/>
      </w:pPr>
      <w:r>
        <w:rPr>
          <w:rFonts w:ascii="Calibri" w:eastAsia="Microsoft YaHei"/>
          <w:color w:val="000000"/>
          <w:sz w:val="24"/>
          <w:szCs w:val="24"/>
        </w:rPr>
        <w:t xml:space="preserve">2026E归母净利润856亿元已接近2024年历史高点（862亿元），即提价效应可以在一年内修复行业下行造成的利润回落；上半年-2.0%的表观与全年+4.0%的预测意味着下半年隐含同比+11%左右，其支撑就是3月提价自二季度起的满季效落地。</w:t>
      </w:r>
    </w:p>
    <w:p>
      <w:pPr>
        <w:pStyle w:val="Heading1"/>
        <w:spacing w:after="200" w:before="400" w:line="312"/>
      </w:pPr>
      <w:bookmarkStart w:name="_Toc18" w:id="18"/>
      <w:r>
        <w:rPr>
          <w:rFonts w:ascii="Calibri" w:eastAsia="SimHei"/>
          <w:b/>
          <w:bCs/>
          <w:color w:val="1A1A1A"/>
          <w:sz w:val="32"/>
          <w:szCs w:val="32"/>
        </w:rPr>
        <w:t xml:space="preserve">六、估值分析</w:t>
      </w:r>
      <w:bookmarkEnd w:id="18"/>
    </w:p>
    <w:p>
      <w:pPr>
        <w:pStyle w:val="Heading2"/>
        <w:spacing w:after="140" w:before="280" w:line="312"/>
      </w:pPr>
      <w:bookmarkStart w:name="_Toc19" w:id="19"/>
      <w:r>
        <w:rPr>
          <w:rFonts w:ascii="Calibri" w:eastAsia="SimHei"/>
          <w:b/>
          <w:bCs/>
          <w:color w:val="1A1A1A"/>
          <w:sz w:val="28"/>
          <w:szCs w:val="28"/>
        </w:rPr>
        <w:t xml:space="preserve">6.1 DCF绝对估值</w:t>
      </w:r>
      <w:bookmarkEnd w:id="19"/>
    </w:p>
    <w:p>
      <w:pPr>
        <w:spacing w:after="80" w:line="312"/>
        <w:ind w:firstLine="420"/>
        <w:jc w:val="both"/>
      </w:pPr>
      <w:r>
        <w:rPr>
          <w:rFonts w:ascii="Calibri" w:eastAsia="Microsoft YaHei"/>
          <w:color w:val="000000"/>
          <w:sz w:val="24"/>
          <w:szCs w:val="24"/>
        </w:rPr>
        <w:t xml:space="preserve">采用FCFF二阶段模型：显性期2026E-2030E，FCFF=NOPAT+折旧摊销-资本开支-营运资金变动（资本开支60→40亿元递减，对应三大技改项目建设高峰后回落）。折现率：无风险利率1.64%（2026-10-23十年期国债）+β0.85×股权风险溢价6.5%，得WACC≈Ke≈7.16%（茅台无有息负债，近似全股权资本结构）；永续增长率g=2.5%，不高于长期名义GDP。结果：显性期FCFF现值约3,959亿元，终值现值约17,019亿元，企业价值约20,978亿元，加超额净现金约1,300亿元（保守估计，剔除财务公司对应吸收存款）、减少数股东权益约30亿元，股权价值约22,248亿元，对应每股价值约1,777元，对应2026E PE约26.0倍——恰好锚定近十年PE的P30分位（26.1倍），估值与历史中枢下沿交叉验证。</w:t>
      </w:r>
    </w:p>
    <w:p>
      <w:pPr>
        <w:pStyle w:val="Heading2"/>
        <w:spacing w:after="140" w:before="280" w:line="312"/>
      </w:pPr>
      <w:bookmarkStart w:name="_Toc20" w:id="20"/>
      <w:r>
        <w:rPr>
          <w:rFonts w:ascii="Calibri" w:eastAsia="SimHei"/>
          <w:b/>
          <w:bCs/>
          <w:color w:val="1A1A1A"/>
          <w:sz w:val="28"/>
          <w:szCs w:val="28"/>
        </w:rPr>
        <w:t xml:space="preserve">6.2 相对估值</w:t>
      </w:r>
      <w:bookmarkEnd w:id="20"/>
    </w:p>
    <w:p>
      <w:pPr>
        <w:keepNext/>
        <w:spacing w:after="60" w:before="160"/>
      </w:pPr>
      <w:r>
        <w:rPr>
          <w:rFonts w:ascii="Calibri" w:eastAsia="Microsoft YaHei"/>
          <w:b/>
          <w:bCs/>
          <w:color w:val="6B6B6B"/>
          <w:sz w:val="20"/>
          <w:szCs w:val="20"/>
        </w:rPr>
        <w:t xml:space="preserve">表4  可比公司估值对比（2026年10月中旬）</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406"/>
        <w:gridCol w:w="1230"/>
        <w:gridCol w:w="1055"/>
        <w:gridCol w:w="5097"/>
      </w:tblGrid>
      <w:tr>
        <w:trPr>
          <w:cantSplit/>
          <w:tblHeader/>
        </w:trPr>
        <w:tc>
          <w:tcPr>
            <w:tcW w:type="pct" w:w="8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公司</w:t>
            </w:r>
          </w:p>
        </w:tc>
        <w:tc>
          <w:tcPr>
            <w:tcW w:type="pct" w:w="7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PE-TTM</w:t>
            </w:r>
          </w:p>
        </w:tc>
        <w:tc>
          <w:tcPr>
            <w:tcW w:type="pct" w:w="6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股息率</w:t>
            </w:r>
          </w:p>
        </w:tc>
        <w:tc>
          <w:tcPr>
            <w:tcW w:type="pct" w:w="29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备注</w:t>
            </w:r>
          </w:p>
        </w:tc>
      </w:tr>
      <w:tr>
        <w:trPr>
          <w:cantSplit/>
        </w:trPr>
        <w:tc>
          <w:tcPr>
            <w:tcW w:type="pct" w:w="8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贵州茅台</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约19.6倍</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约3.9%</w:t>
            </w:r>
          </w:p>
        </w:tc>
        <w:tc>
          <w:tcPr>
            <w:tcW w:type="pct" w:w="29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处近十年约2%分位；2026H1净利-2.0%</w:t>
            </w:r>
          </w:p>
        </w:tc>
      </w:tr>
      <w:tr>
        <w:trPr>
          <w:cantSplit/>
        </w:trPr>
        <w:tc>
          <w:tcPr>
            <w:tcW w:type="pct" w:w="8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五粮液</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约15倍</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约7.3%</w:t>
            </w:r>
          </w:p>
        </w:tc>
        <w:tc>
          <w:tcPr>
            <w:tcW w:type="pct" w:w="29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2025年报表口径调整放大降幅；2026H1低基数高增</w:t>
            </w:r>
          </w:p>
        </w:tc>
      </w:tr>
      <w:tr>
        <w:trPr>
          <w:cantSplit/>
        </w:trPr>
        <w:tc>
          <w:tcPr>
            <w:tcW w:type="pct" w:w="8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泸州老窖</w:t>
            </w:r>
          </w:p>
        </w:tc>
        <w:tc>
          <w:tcPr>
            <w:tcW w:type="pct" w:w="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约14倍</w:t>
            </w:r>
          </w:p>
        </w:tc>
        <w:tc>
          <w:tcPr>
            <w:tcW w:type="pct" w:w="6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约8.2%</w:t>
            </w:r>
          </w:p>
        </w:tc>
        <w:tc>
          <w:tcPr>
            <w:tcW w:type="pct" w:w="29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2026H1净利-36.4%，高端酒中受损最重</w:t>
            </w:r>
          </w:p>
        </w:tc>
      </w:tr>
      <w:tr>
        <w:trPr>
          <w:cantSplit/>
        </w:trPr>
        <w:tc>
          <w:tcPr>
            <w:tcW w:type="pct" w:w="8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山西汾酒</w:t>
            </w:r>
          </w:p>
        </w:tc>
        <w:tc>
          <w:tcPr>
            <w:tcW w:type="pct" w:w="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约14倍</w:t>
            </w:r>
          </w:p>
        </w:tc>
        <w:tc>
          <w:tcPr>
            <w:tcW w:type="pct" w:w="6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约5.5%</w:t>
            </w:r>
          </w:p>
        </w:tc>
        <w:tc>
          <w:tcPr>
            <w:tcW w:type="pct" w:w="29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2026H1净利-24.3%</w:t>
            </w:r>
          </w:p>
        </w:tc>
      </w:tr>
    </w:tbl>
    <w:p>
      <w:pPr>
        <w:spacing w:after="160" w:before="40" w:line="280"/>
        <w:jc w:val="left"/>
      </w:pPr>
      <w:r>
        <w:rPr>
          <w:rFonts w:ascii="Calibri" w:eastAsia="Microsoft YaHei"/>
          <w:i/>
          <w:iCs/>
          <w:color w:val="888888"/>
          <w:sz w:val="18"/>
          <w:szCs w:val="18"/>
        </w:rPr>
        <w:t xml:space="preserve">数据来源：东方财富、同花顺等行情及媒体报道（2026-10中旬），为采集时点近似值，随市场波动。</w:t>
      </w:r>
    </w:p>
    <w:p>
      <w:pPr>
        <w:spacing w:after="80" w:line="312"/>
        <w:ind w:firstLine="420"/>
        <w:jc w:val="both"/>
      </w:pPr>
      <w:r>
        <w:rPr>
          <w:rFonts w:ascii="Calibri" w:eastAsia="Microsoft YaHei"/>
          <w:color w:val="000000"/>
          <w:sz w:val="24"/>
          <w:szCs w:val="24"/>
        </w:rPr>
        <w:t xml:space="preserve">直接对比PE均值会产生误导：同业14-15倍是盈利受损年份的被动倍数，而茅台盈利仅微降后企稳。本报告按质量调整：茅台ROE（32.5%）、盈利确定性、分红率（79%）全面领先，给予2026E PE 22-26倍（相对自身历史P30-P50分位，相对同业溢价60%+），得到可比法每股价值区间1,504-1,778元，与DCF结果（1,777元）在上沿几乎重合。</w:t>
      </w:r>
    </w:p>
    <w:p>
      <w:pPr>
        <w:pStyle w:val="Heading2"/>
        <w:spacing w:after="140" w:before="280" w:line="312"/>
      </w:pPr>
      <w:bookmarkStart w:name="_Toc21" w:id="21"/>
      <w:r>
        <w:rPr>
          <w:rFonts w:ascii="Calibri" w:eastAsia="SimHei"/>
          <w:b/>
          <w:bCs/>
          <w:color w:val="1A1A1A"/>
          <w:sz w:val="28"/>
          <w:szCs w:val="28"/>
        </w:rPr>
        <w:t xml:space="preserve">6.3 敏感性分析与综合结论</w:t>
      </w:r>
      <w:bookmarkEnd w:id="21"/>
    </w:p>
    <w:p>
      <w:pPr>
        <w:keepNext/>
        <w:spacing w:before="120"/>
        <w:jc w:val="center"/>
      </w:pPr>
      <w:r>
        <w:drawing>
          <wp:inline distT="0" distB="0" distL="0" distR="0">
            <wp:extent cx="5334000" cy="35909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90925"/>
                    </a:xfrm>
                    <a:prstGeom prst="rect">
                      <a:avLst/>
                    </a:prstGeom>
                  </pic:spPr>
                </pic:pic>
              </a:graphicData>
            </a:graphic>
          </wp:inline>
        </w:drawing>
      </w:r>
    </w:p>
    <w:p>
      <w:pPr>
        <w:spacing w:after="40" w:before="60"/>
        <w:jc w:val="center"/>
      </w:pPr>
      <w:r>
        <w:rPr>
          <w:rFonts w:ascii="Calibri" w:eastAsia="Microsoft YaHei"/>
          <w:b/>
          <w:bCs/>
          <w:color w:val="6B6B6B"/>
          <w:sz w:val="20"/>
          <w:szCs w:val="20"/>
        </w:rPr>
        <w:t xml:space="preserve">图5  DCF敏感性：每股价值（元）＝f（WACC，g）</w:t>
      </w:r>
    </w:p>
    <w:p>
      <w:pPr>
        <w:spacing w:after="80" w:line="312"/>
        <w:ind w:firstLine="420"/>
        <w:jc w:val="both"/>
      </w:pPr>
      <w:r>
        <w:rPr>
          <w:rFonts w:ascii="Calibri" w:eastAsia="Microsoft YaHei"/>
          <w:color w:val="000000"/>
          <w:sz w:val="24"/>
          <w:szCs w:val="24"/>
        </w:rPr>
        <w:t xml:space="preserve">WACC 6.2%-8.2%×g 2.0%-3.0%的敏感性矩阵显示每股价值区间约1,379-2,520元。尤其重要的是：最保守角落（WACC 8.2%×g 2.0%，即折现率提高至基准的近一倍且永续零增长）的每股价值仍有约1,379元，高于现价1,335元——这意味着当前市场价格已经计入比本报告最保守情形更悲观的预期。</w:t>
      </w:r>
    </w:p>
    <w:p>
      <w:pPr>
        <w:keepNext/>
        <w:spacing w:after="60" w:before="160"/>
      </w:pPr>
      <w:r>
        <w:rPr>
          <w:rFonts w:ascii="Calibri" w:eastAsia="Microsoft YaHei"/>
          <w:b/>
          <w:bCs/>
          <w:color w:val="6B6B6B"/>
          <w:sz w:val="20"/>
          <w:szCs w:val="20"/>
        </w:rPr>
        <w:t xml:space="preserve">表5  估值结论汇总</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3164"/>
        <w:gridCol w:w="3164"/>
        <w:gridCol w:w="2461"/>
      </w:tblGrid>
      <w:tr>
        <w:trPr>
          <w:cantSplit/>
          <w:tblHeader/>
        </w:trPr>
        <w:tc>
          <w:tcPr>
            <w:tcW w:type="pct" w:w="18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方法</w:t>
            </w:r>
          </w:p>
        </w:tc>
        <w:tc>
          <w:tcPr>
            <w:tcW w:type="pct" w:w="18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每股价值</w:t>
            </w:r>
          </w:p>
        </w:tc>
        <w:tc>
          <w:tcPr>
            <w:tcW w:type="pct" w:w="14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对应2026E PE</w:t>
            </w:r>
          </w:p>
        </w:tc>
      </w:tr>
      <w:tr>
        <w:trPr>
          <w:cantSplit/>
        </w:trPr>
        <w:tc>
          <w:tcPr>
            <w:tcW w:type="pct" w:w="18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DCF（WACC 7.16%，g 2.5%）</w:t>
            </w:r>
          </w:p>
        </w:tc>
        <w:tc>
          <w:tcPr>
            <w:tcW w:type="pct" w:w="18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约1,777元</w:t>
            </w:r>
          </w:p>
        </w:tc>
        <w:tc>
          <w:tcPr>
            <w:tcW w:type="pct" w:w="14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约26.0倍</w:t>
            </w:r>
          </w:p>
        </w:tc>
      </w:tr>
      <w:tr>
        <w:trPr>
          <w:cantSplit/>
        </w:trPr>
        <w:tc>
          <w:tcPr>
            <w:tcW w:type="pct" w:w="18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可比估值（PE 22-26倍）</w:t>
            </w:r>
          </w:p>
        </w:tc>
        <w:tc>
          <w:tcPr>
            <w:tcW w:type="pct" w:w="18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1,504-1,778元</w:t>
            </w:r>
          </w:p>
        </w:tc>
        <w:tc>
          <w:tcPr>
            <w:tcW w:type="pct" w:w="14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22-26倍</w:t>
            </w:r>
          </w:p>
        </w:tc>
      </w:tr>
      <w:tr>
        <w:trPr>
          <w:cantSplit/>
        </w:trPr>
        <w:tc>
          <w:tcPr>
            <w:tcW w:type="pct" w:w="18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综合目标区间</w:t>
            </w:r>
          </w:p>
        </w:tc>
        <w:tc>
          <w:tcPr>
            <w:tcW w:type="pct" w:w="18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1,550-1,800元（中枢1,700元）</w:t>
            </w:r>
          </w:p>
        </w:tc>
        <w:tc>
          <w:tcPr>
            <w:tcW w:type="pct" w:w="14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约24.9倍</w:t>
            </w:r>
          </w:p>
        </w:tc>
      </w:tr>
      <w:tr>
        <w:trPr>
          <w:cantSplit/>
        </w:trPr>
        <w:tc>
          <w:tcPr>
            <w:tcW w:type="pct" w:w="18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现价（2026-10-22）</w:t>
            </w:r>
          </w:p>
        </w:tc>
        <w:tc>
          <w:tcPr>
            <w:tcW w:type="pct" w:w="18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1,335元</w:t>
            </w:r>
          </w:p>
        </w:tc>
        <w:tc>
          <w:tcPr>
            <w:tcW w:type="pct" w:w="14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约19.5倍</w:t>
            </w:r>
          </w:p>
        </w:tc>
      </w:tr>
      <w:tr>
        <w:trPr>
          <w:cantSplit/>
        </w:trPr>
        <w:tc>
          <w:tcPr>
            <w:tcW w:type="pct" w:w="18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隐含空间</w:t>
            </w:r>
          </w:p>
        </w:tc>
        <w:tc>
          <w:tcPr>
            <w:tcW w:type="pct" w:w="18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+16%～+35%（中枢+27%）</w:t>
            </w:r>
          </w:p>
        </w:tc>
        <w:tc>
          <w:tcPr>
            <w:tcW w:type="pct" w:w="14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w:t>
            </w:r>
          </w:p>
        </w:tc>
      </w:tr>
    </w:tbl>
    <w:p>
      <w:pPr>
        <w:pStyle w:val="Heading1"/>
        <w:spacing w:after="200" w:before="400" w:line="312"/>
      </w:pPr>
      <w:bookmarkStart w:name="_Toc22" w:id="22"/>
      <w:r>
        <w:rPr>
          <w:rFonts w:ascii="Calibri" w:eastAsia="SimHei"/>
          <w:b/>
          <w:bCs/>
          <w:color w:val="1A1A1A"/>
          <w:sz w:val="32"/>
          <w:szCs w:val="32"/>
        </w:rPr>
        <w:t xml:space="preserve">七、投资逻辑与风险提示</w:t>
      </w:r>
      <w:bookmarkEnd w:id="22"/>
    </w:p>
    <w:p>
      <w:pPr>
        <w:pStyle w:val="Heading2"/>
        <w:spacing w:after="140" w:before="280" w:line="312"/>
      </w:pPr>
      <w:bookmarkStart w:name="_Toc23" w:id="23"/>
      <w:r>
        <w:rPr>
          <w:rFonts w:ascii="Calibri" w:eastAsia="SimHei"/>
          <w:b/>
          <w:bCs/>
          <w:color w:val="1A1A1A"/>
          <w:sz w:val="28"/>
          <w:szCs w:val="28"/>
        </w:rPr>
        <w:t xml:space="preserve">7.1 核心投资逻辑</w:t>
      </w:r>
      <w:bookmarkEnd w:id="23"/>
    </w:p>
    <w:p>
      <w:pPr>
        <w:spacing w:after="80" w:line="312"/>
        <w:ind w:firstLine="420"/>
        <w:jc w:val="both"/>
      </w:pPr>
      <w:r>
        <w:rPr>
          <w:rFonts w:ascii="Calibri" w:eastAsia="Microsoft YaHei"/>
          <w:color w:val="000000"/>
          <w:sz w:val="24"/>
          <w:szCs w:val="24"/>
        </w:rPr>
        <w:t xml:space="preserve">在行业深度调整的底部区域，以近十年最低估值买入“盈利确定性+提价权+79%分红率”三重属性兼备的白酒绝对龙头，同时赚取“业绩修复×估值回归×股息垫底”三段收益：业绩端，2026E净利+4.0%重回千亿茅台酒利润轨道；估值端，19.6倍PE处历史低位，向目标区间修复空间明确；股息端，按75%分红承诺2026E股息率约3.8%，在无风险利率1.64%的环境下具备稀缺性。</w:t>
      </w:r>
    </w:p>
    <w:p>
      <w:pPr>
        <w:pStyle w:val="Heading2"/>
        <w:spacing w:after="140" w:before="280" w:line="312"/>
      </w:pPr>
      <w:bookmarkStart w:name="_Toc24" w:id="24"/>
      <w:r>
        <w:rPr>
          <w:rFonts w:ascii="Calibri" w:eastAsia="SimHei"/>
          <w:b/>
          <w:bCs/>
          <w:color w:val="1A1A1A"/>
          <w:sz w:val="28"/>
          <w:szCs w:val="28"/>
        </w:rPr>
        <w:t xml:space="preserve">7.2 风险提示</w:t>
      </w:r>
      <w:bookmarkEnd w:id="24"/>
    </w:p>
    <w:p>
      <w:pPr>
        <w:keepNext/>
        <w:spacing w:after="60" w:before="160"/>
      </w:pPr>
      <w:r>
        <w:rPr>
          <w:rFonts w:ascii="Calibri" w:eastAsia="Microsoft YaHei"/>
          <w:b/>
          <w:bCs/>
          <w:color w:val="6B6B6B"/>
          <w:sz w:val="20"/>
          <w:szCs w:val="20"/>
        </w:rPr>
        <w:t xml:space="preserve">表6  主要风险清单（按杀伤力排序）</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933"/>
        <w:gridCol w:w="3867"/>
        <w:gridCol w:w="2988"/>
      </w:tblGrid>
      <w:tr>
        <w:trPr>
          <w:cantSplit/>
          <w:tblHeader/>
        </w:trPr>
        <w:tc>
          <w:tcPr>
            <w:tcW w:type="pct" w:w="1100"/>
            <w:shd w:fill="C9A84C" w:val="clear"/>
            <w:tcMar>
              <w:top w:type="dxa" w:w="70"/>
              <w:left w:type="dxa" w:w="110"/>
              <w:bottom w:type="dxa" w:w="70"/>
              <w:right w:type="dxa" w:w="110"/>
            </w:tcMar>
          </w:tcPr>
          <w:p>
            <w:pPr>
              <w:spacing w:line="276"/>
              <w:jc w:val="left"/>
            </w:pPr>
            <w:r>
              <w:rPr>
                <w:rFonts w:ascii="Calibri" w:eastAsia="Microsoft YaHei"/>
                <w:b/>
                <w:bCs/>
                <w:color w:val="1A1A1A"/>
                <w:sz w:val="21"/>
                <w:szCs w:val="21"/>
              </w:rPr>
              <w:t xml:space="preserve">风险</w:t>
            </w:r>
          </w:p>
        </w:tc>
        <w:tc>
          <w:tcPr>
            <w:tcW w:type="pct" w:w="22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情景描述</w:t>
            </w:r>
          </w:p>
        </w:tc>
        <w:tc>
          <w:tcPr>
            <w:tcW w:type="pct" w:w="1700"/>
            <w:shd w:fill="C9A84C" w:val="clear"/>
            <w:tcMar>
              <w:top w:type="dxa" w:w="70"/>
              <w:left w:type="dxa" w:w="110"/>
              <w:bottom w:type="dxa" w:w="70"/>
              <w:right w:type="dxa" w:w="110"/>
            </w:tcMar>
          </w:tcPr>
          <w:p>
            <w:pPr>
              <w:spacing w:line="276"/>
              <w:jc w:val="center"/>
            </w:pPr>
            <w:r>
              <w:rPr>
                <w:rFonts w:ascii="Calibri" w:eastAsia="Microsoft YaHei"/>
                <w:b/>
                <w:bCs/>
                <w:color w:val="1A1A1A"/>
                <w:sz w:val="21"/>
                <w:szCs w:val="21"/>
              </w:rPr>
              <w:t xml:space="preserve">观察/应对指标</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需求持续萎缩超预期</w:t>
            </w:r>
          </w:p>
        </w:tc>
        <w:tc>
          <w:tcPr>
            <w:tcW w:type="pct" w:w="22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禁酒令升级/宏观长期低迷，批价再度破发</w:t>
            </w:r>
          </w:p>
        </w:tc>
        <w:tc>
          <w:tcPr>
            <w:tcW w:type="pct" w:w="1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飞天批价（周频）、茅台酒收入增速</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提价失败反噬</w:t>
            </w:r>
          </w:p>
        </w:tc>
        <w:tc>
          <w:tcPr>
            <w:tcW w:type="pct" w:w="22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批价跌破新出厂价1,269元，渠道利润倒挂</w:t>
            </w:r>
          </w:p>
        </w:tc>
        <w:tc>
          <w:tcPr>
            <w:tcW w:type="pct" w:w="1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批价-出厂价价差（当前约430元）</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消费税改革</w:t>
            </w:r>
          </w:p>
        </w:tc>
        <w:tc>
          <w:tcPr>
            <w:tcW w:type="pct" w:w="22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征收环节后移落地，压缩出厂-零售价差</w:t>
            </w:r>
          </w:p>
        </w:tc>
        <w:tc>
          <w:tcPr>
            <w:tcW w:type="pct" w:w="1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立法/财税部门政策进程</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治理与国资行为</w:t>
            </w:r>
          </w:p>
        </w:tc>
        <w:tc>
          <w:tcPr>
            <w:tcW w:type="pct" w:w="22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提价/放量决策非市场化、集团运作摊薄</w:t>
            </w:r>
          </w:p>
        </w:tc>
        <w:tc>
          <w:tcPr>
            <w:tcW w:type="pct" w:w="1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关联交易公告</w:t>
            </w:r>
          </w:p>
        </w:tc>
      </w:tr>
      <w:tr>
        <w:trPr>
          <w:cantSplit/>
        </w:trPr>
        <w:tc>
          <w:tcPr>
            <w:tcW w:type="pct" w:w="1100"/>
            <w:shd w:fill="F5F2E8"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代际消费替代</w:t>
            </w:r>
          </w:p>
        </w:tc>
        <w:tc>
          <w:tcPr>
            <w:tcW w:type="pct" w:w="22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年轻人白酒消费率趋势性下降，行业缩量长期化</w:t>
            </w:r>
          </w:p>
        </w:tc>
        <w:tc>
          <w:tcPr>
            <w:tcW w:type="pct" w:w="1700"/>
            <w:shd w:fill="F5F2E8"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行业产量（年频）、高频消费数据</w:t>
            </w:r>
          </w:p>
        </w:tc>
      </w:tr>
      <w:tr>
        <w:trPr>
          <w:cantSplit/>
        </w:trPr>
        <w:tc>
          <w:tcPr>
            <w:tcW w:type="pct" w:w="1100"/>
            <w:shd w:fill="FFFFFF" w:val="clear"/>
            <w:tcMar>
              <w:top w:type="dxa" w:w="70"/>
              <w:left w:type="dxa" w:w="110"/>
              <w:bottom w:type="dxa" w:w="70"/>
              <w:right w:type="dxa" w:w="110"/>
            </w:tcMar>
          </w:tcPr>
          <w:p>
            <w:pPr>
              <w:spacing w:line="276"/>
              <w:jc w:val="left"/>
            </w:pPr>
            <w:r>
              <w:rPr>
                <w:rFonts w:ascii="Calibri" w:eastAsia="Microsoft YaHei"/>
                <w:color w:val="000000"/>
                <w:sz w:val="20"/>
                <w:szCs w:val="20"/>
              </w:rPr>
              <w:t xml:space="preserve">库存双刃剑</w:t>
            </w:r>
          </w:p>
        </w:tc>
        <w:tc>
          <w:tcPr>
            <w:tcW w:type="pct" w:w="22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社会库存若集中抛售冲击价格</w:t>
            </w:r>
          </w:p>
        </w:tc>
        <w:tc>
          <w:tcPr>
            <w:tcW w:type="pct" w:w="1700"/>
            <w:shd w:fill="FFFFFF" w:val="clear"/>
            <w:tcMar>
              <w:top w:type="dxa" w:w="70"/>
              <w:left w:type="dxa" w:w="110"/>
              <w:bottom w:type="dxa" w:w="70"/>
              <w:right w:type="dxa" w:w="110"/>
            </w:tcMar>
          </w:tcPr>
          <w:p>
            <w:pPr>
              <w:spacing w:line="276"/>
              <w:jc w:val="center"/>
            </w:pPr>
            <w:r>
              <w:rPr>
                <w:rFonts w:ascii="Calibri" w:eastAsia="Microsoft YaHei"/>
                <w:color w:val="000000"/>
                <w:sz w:val="20"/>
                <w:szCs w:val="20"/>
              </w:rPr>
              <w:t xml:space="preserve">渠道库存调研、批价波动率</w:t>
            </w:r>
          </w:p>
        </w:tc>
      </w:tr>
    </w:tbl>
    <w:p>
      <w:pPr>
        <w:pStyle w:val="Heading2"/>
        <w:spacing w:after="140" w:before="280" w:line="312"/>
      </w:pPr>
      <w:bookmarkStart w:name="_Toc25" w:id="25"/>
      <w:r>
        <w:rPr>
          <w:rFonts w:ascii="Calibri" w:eastAsia="SimHei"/>
          <w:b/>
          <w:bCs/>
          <w:color w:val="1A1A1A"/>
          <w:sz w:val="28"/>
          <w:szCs w:val="28"/>
        </w:rPr>
        <w:t xml:space="preserve">7.3 反方观点检验</w:t>
      </w:r>
      <w:bookmarkEnd w:id="25"/>
    </w:p>
    <w:p>
      <w:pPr>
        <w:spacing w:after="80" w:line="312"/>
        <w:ind w:firstLine="420"/>
        <w:jc w:val="both"/>
      </w:pPr>
      <w:r>
        <w:rPr>
          <w:rFonts w:ascii="Calibri" w:eastAsia="Microsoft YaHei"/>
          <w:color w:val="000000"/>
          <w:sz w:val="24"/>
          <w:szCs w:val="24"/>
        </w:rPr>
        <w:t xml:space="preserve">针对三个最常见的反方观点逐一检验。其一，“白酒是夕阳行业，产量九连降”：认同量的长期趋势，但茅台赚的是价与份额的钱——产量占比约1.3%而利润占比约五成，量缩价升的结构红利恰恰流向茅台。其二，“人口结构注定衰落”：长期真实约束，但兑现周期以十年计，且本报告永续增速仅设2.5%、显性期增速递减，已体现克制。其三，“同业14倍才便宜”：同业倍数建立在受损盈利之上，口径不可比；拉长看茅台自身历史P30为26倍，当前19.6倍处于历史区间下沿之下。</w:t>
      </w:r>
    </w:p>
    <w:p>
      <w:pPr>
        <w:pStyle w:val="Heading1"/>
        <w:spacing w:after="200" w:before="400" w:line="312"/>
      </w:pPr>
      <w:bookmarkStart w:name="_Toc26" w:id="26"/>
      <w:r>
        <w:rPr>
          <w:rFonts w:ascii="Calibri" w:eastAsia="SimHei"/>
          <w:b/>
          <w:bCs/>
          <w:color w:val="1A1A1A"/>
          <w:sz w:val="32"/>
          <w:szCs w:val="32"/>
        </w:rPr>
        <w:t xml:space="preserve">八、附录：AI投研工作台说明与数据来源</w:t>
      </w:r>
      <w:bookmarkEnd w:id="26"/>
    </w:p>
    <w:p>
      <w:pPr>
        <w:pStyle w:val="Heading2"/>
        <w:spacing w:after="140" w:before="280" w:line="312"/>
      </w:pPr>
      <w:bookmarkStart w:name="_Toc27" w:id="27"/>
      <w:r>
        <w:rPr>
          <w:rFonts w:ascii="Calibri" w:eastAsia="SimHei"/>
          <w:b/>
          <w:bCs/>
          <w:color w:val="1A1A1A"/>
          <w:sz w:val="28"/>
          <w:szCs w:val="28"/>
        </w:rPr>
        <w:t xml:space="preserve">8.1 本报告的生产方式：个人AI投研工作台</w:t>
      </w:r>
      <w:bookmarkEnd w:id="27"/>
    </w:p>
    <w:p>
      <w:pPr>
        <w:spacing w:after="80" w:line="312"/>
        <w:ind w:firstLine="420"/>
        <w:jc w:val="both"/>
      </w:pPr>
      <w:r>
        <w:rPr>
          <w:rFonts w:ascii="Calibri" w:eastAsia="Microsoft YaHei"/>
          <w:color w:val="000000"/>
          <w:sz w:val="24"/>
          <w:szCs w:val="24"/>
        </w:rPr>
        <w:t xml:space="preserve">本报告及随附Excel估值模型由个人AI投研工作台产出。工作台采用“数据层-分析层-模型层-交付层”四层架构：数据层全部带溯源记录（凡数必源，每个数字可追溯到公告或行情页）；分析层沉淀四份底稿（基本面/行业/竞争力/投资逻辑）；模型层以JSON单一数据源驱动脚本生成全公式Excel，并配备独立校验脚本（公式重算与Python计算偏差&lt;0.01方可通过）；交付层自动生成图表与本报告。该流程可复现：更新数据后重跑两个脚本即可刷新全部交付物，也可平移至其他标的重复使用。</w:t>
      </w:r>
    </w:p>
    <w:p>
      <w:pPr>
        <w:pStyle w:val="Heading2"/>
        <w:spacing w:after="140" w:before="280" w:line="312"/>
      </w:pPr>
      <w:bookmarkStart w:name="_Toc28" w:id="28"/>
      <w:r>
        <w:rPr>
          <w:rFonts w:ascii="Calibri" w:eastAsia="SimHei"/>
          <w:b/>
          <w:bCs/>
          <w:color w:val="1A1A1A"/>
          <w:sz w:val="28"/>
          <w:szCs w:val="28"/>
        </w:rPr>
        <w:t xml:space="preserve">8.2 主要数据来源</w:t>
      </w:r>
      <w:bookmarkEnd w:id="28"/>
    </w:p>
    <w:p>
      <w:pPr>
        <w:spacing w:after="80" w:line="312"/>
        <w:ind w:firstLine="420"/>
        <w:jc w:val="both"/>
      </w:pPr>
      <w:r>
        <w:rPr>
          <w:rFonts w:ascii="Calibri" w:eastAsia="Microsoft YaHei"/>
          <w:color w:val="000000"/>
          <w:sz w:val="24"/>
          <w:szCs w:val="24"/>
        </w:rPr>
        <w:t xml:space="preserve">公司数据：贵州茅台2025年年度报告（官方PDF，2026-04-17）、2026年一季报及半年报；历史数据经证券时报、新浪财经等多源交叉验证。行业数据：国家统计局（2025年规上白酒产量）、中国酒业协会×毕马威《2025中国白酒市场中期研究报告》。市场数据：东方财富/同花顺行情（2026年10月中旬）、财政部中债国债收益率曲线（2026-10-23）。批价数据：今日酒价等第三方监测（媒体公开报道）。完整溯源信息见工作台data/目录各数据文件的sources字段。</w:t>
      </w:r>
    </w:p>
    <w:p>
      <w:pPr>
        <w:pStyle w:val="Heading1"/>
        <w:spacing w:after="200" w:before="400" w:line="312"/>
      </w:pPr>
      <w:bookmarkStart w:name="_Toc29" w:id="29"/>
      <w:r>
        <w:rPr>
          <w:rFonts w:ascii="Calibri" w:eastAsia="SimHei"/>
          <w:b/>
          <w:bCs/>
          <w:color w:val="1A1A1A"/>
          <w:sz w:val="32"/>
          <w:szCs w:val="32"/>
        </w:rPr>
        <w:t xml:space="preserve">九、免责声明</w:t>
      </w:r>
      <w:bookmarkEnd w:id="29"/>
    </w:p>
    <w:p>
      <w:pPr>
        <w:spacing w:after="80" w:line="312"/>
        <w:ind w:firstLine="420"/>
        <w:jc w:val="both"/>
      </w:pPr>
      <w:r>
        <w:rPr>
          <w:rFonts w:ascii="Calibri" w:eastAsia="Microsoft YaHei"/>
          <w:color w:val="000000"/>
          <w:sz w:val="24"/>
          <w:szCs w:val="24"/>
        </w:rPr>
        <w:t xml:space="preserve">本报告为「研报侠」AI技能生成的付费研究报告示例（支付宝AI付PAYATHON 2026参赛作品），由个人AI投研工作台基于公开信息生成。报告所用数据均来自公开渠道，可能存在滞后或口径差异；盈利预测与估值结论均为基于假设的情景推演，不构成任何证券投资建议。市场有风险，投资需谨慎。</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ROMAN \* MERGEFORMAT </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Calibri" w:eastAsia="Microsoft YaHei"/>
        <w:color w:val="808080"/>
        <w:sz w:val="18"/>
        <w:szCs w:val="18"/>
      </w:rPr>
      <w:t xml:space="preserve">贵州茅台（600519）投资价值研究报告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1A1A1A"/>
      <w:sz w:val="32"/>
      <w:szCs w:val="32"/>
    </w:rPr>
  </w:style>
  <w:style w:type="paragraph" w:styleId="Heading2">
    <w:name w:val="Heading 2"/>
    <w:basedOn w:val="Normal"/>
    <w:next w:val="Normal"/>
    <w:qFormat/>
    <w:pPr>
      <w:spacing w:after="140" w:before="280" w:line="312"/>
      <w:outlineLvl w:val="1"/>
    </w:pPr>
    <w:rPr>
      <w:rFonts w:ascii="Calibri" w:eastAsia="SimHei"/>
      <w:b/>
      <w:bCs/>
      <w:color w:val="1A1A1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bbcc4efa93df20a15670b81e17380eec8817f17f.png"/><Relationship Id="rId11" Type="http://schemas.openxmlformats.org/officeDocument/2006/relationships/image" Target="media/ea7c689361db08bbe2707e4102298f6171a96e76.png"/><Relationship Id="rId12" Type="http://schemas.openxmlformats.org/officeDocument/2006/relationships/image" Target="media/d6523dbd63015337dec66c824490b73e75daf65a.png"/><Relationship Id="rId13" Type="http://schemas.openxmlformats.org/officeDocument/2006/relationships/image" Target="media/2110e8120f18dbc58e8d1d7c92e8186fe02c6741.png"/><Relationship Id="rId14" Type="http://schemas.openxmlformats.org/officeDocument/2006/relationships/image" Target="media/c31036772f648d7dd99752c617644573ab2739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贵州茅台（600519）投资价值研究报告</dc:title>
  <dc:creator>个人AI投研工作台</dc:creator>
  <cp:lastModifiedBy>Un-named</cp:lastModifiedBy>
  <cp:revision>1</cp:revision>
  <dcterms:created xsi:type="dcterms:W3CDTF">2026-10-24T12:53:21.615Z</dcterms:created>
  <dcterms:modified xsi:type="dcterms:W3CDTF">2026-10-24T12:53:21.615Z</dcterms:modified>
</cp:coreProperties>
</file>

<file path=docProps/custom.xml><?xml version="1.0" encoding="utf-8"?>
<Properties xmlns="http://schemas.openxmlformats.org/officeDocument/2006/custom-properties" xmlns:vt="http://schemas.openxmlformats.org/officeDocument/2006/docPropsVTypes"/>
</file>