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  <w:r>
        <w:rPr>
          <w:rFonts w:ascii="Arial"/>
          <w:color w:val="C9A84C"/>
          <w:sz w:val="22"/>
          <w:szCs w:val="22"/>
        </w:rPr>
        <w:t xml:space="preserve">E Q U I T Y   R E S E A R C H   R E P O R T</w:t>
      </w:r>
    </w:p>
    <w:p>
      <w:pPr>
        <w:pBdr>
          <w:bottom w:val="single" w:color="C9A84C" w:sz="6"/>
        </w:pBdr>
        <w:spacing w:after="700"/>
      </w:pPr>
    </w:p>
    <w:p>
      <w:pPr>
        <w:spacing w:after="200"/>
      </w:pPr>
      <w:r>
        <w:rPr>
          <w:rFonts w:ascii="Arial" w:eastAsia="Microsoft YaHei"/>
          <w:b/>
          <w:bCs/>
          <w:color w:val="FFFFFF"/>
          <w:sz w:val="64"/>
          <w:szCs w:val="64"/>
        </w:rPr>
        <w:t xml:space="preserve">上海家化（600315）</w:t>
      </w:r>
    </w:p>
    <w:p>
      <w:pPr>
        <w:spacing w:after="300"/>
      </w:pPr>
      <w:r>
        <w:rPr>
          <w:rFonts w:ascii="Arial" w:eastAsia="Microsoft YaHei"/>
          <w:b/>
          <w:bCs/>
          <w:color w:val="FFFFFF"/>
          <w:sz w:val="64"/>
          <w:szCs w:val="64"/>
        </w:rPr>
        <w:t xml:space="preserve">投资价值研究报告</w:t>
      </w:r>
    </w:p>
    <w:p>
      <w:pPr>
        <w:spacing w:after="500"/>
      </w:pPr>
      <w:r>
        <w:rPr>
          <w:rFonts w:ascii="Arial" w:eastAsia="Microsoft YaHei"/>
          <w:color w:val="687078"/>
          <w:sz w:val="24"/>
          <w:szCs w:val="24"/>
        </w:rPr>
        <w:t xml:space="preserve">困境反转第三年：毛利三连升 × 包袱出清 × 品牌年轻化</w:t>
      </w:r>
    </w:p>
    <w:p>
      <w:pPr>
        <w:pBdr>
          <w:left w:val="single" w:color="C9A84C" w:sz="12" w:space="12"/>
        </w:pBdr>
        <w:spacing w:after="120"/>
        <w:ind w:left="400"/>
      </w:pPr>
      <w:r>
        <w:rPr>
          <w:rFonts w:ascii="Arial" w:eastAsia="Microsoft YaHei"/>
          <w:color w:val="B8BEC8"/>
          <w:sz w:val="22"/>
          <w:szCs w:val="22"/>
        </w:rPr>
        <w:t xml:space="preserve">标的：上海家化 600315.SH</w:t>
      </w:r>
    </w:p>
    <w:p>
      <w:pPr>
        <w:pBdr>
          <w:left w:val="single" w:color="C9A84C" w:sz="12" w:space="12"/>
        </w:pBdr>
        <w:spacing w:after="120"/>
        <w:ind w:left="400"/>
      </w:pPr>
      <w:r>
        <w:rPr>
          <w:rFonts w:ascii="Arial" w:eastAsia="Microsoft YaHei"/>
          <w:color w:val="B8BEC8"/>
          <w:sz w:val="22"/>
          <w:szCs w:val="22"/>
        </w:rPr>
        <w:t xml:space="preserve">买入（首次覆盖 · AI生成研究示例）</w:t>
      </w:r>
    </w:p>
    <w:p>
      <w:pPr>
        <w:pBdr>
          <w:left w:val="single" w:color="C9A84C" w:sz="12" w:space="12"/>
        </w:pBdr>
        <w:spacing w:after="120"/>
        <w:ind w:left="400"/>
      </w:pPr>
      <w:r>
        <w:rPr>
          <w:rFonts w:ascii="Arial" w:eastAsia="Microsoft YaHei"/>
          <w:color w:val="B8BEC8"/>
          <w:sz w:val="22"/>
          <w:szCs w:val="22"/>
        </w:rPr>
        <w:t xml:space="preserve">目标区间：21.0–22.3 元（中枢 21.6 元）</w:t>
      </w:r>
    </w:p>
    <w:p>
      <w:pPr>
        <w:pBdr>
          <w:left w:val="single" w:color="C9A84C" w:sz="12" w:space="12"/>
        </w:pBdr>
        <w:spacing w:after="120"/>
        <w:ind w:left="400"/>
      </w:pPr>
      <w:r>
        <w:rPr>
          <w:rFonts w:ascii="Arial" w:eastAsia="Microsoft YaHei"/>
          <w:color w:val="B8BEC8"/>
          <w:sz w:val="22"/>
          <w:szCs w:val="22"/>
        </w:rPr>
        <w:t xml:space="preserve">现价：18.29 元（2026-10-23）</w:t>
      </w:r>
    </w:p>
    <w:p>
      <w:pPr>
        <w:pBdr>
          <w:left w:val="single" w:color="C9A84C" w:sz="12" w:space="12"/>
        </w:pBdr>
        <w:spacing w:after="120"/>
        <w:ind w:left="400"/>
      </w:pPr>
      <w:r>
        <w:rPr>
          <w:rFonts w:ascii="Arial" w:eastAsia="Microsoft YaHei"/>
          <w:color w:val="B8BEC8"/>
          <w:sz w:val="22"/>
          <w:szCs w:val="22"/>
        </w:rPr>
        <w:t xml:space="preserve">报告日期：2026年10月25日</w:t>
      </w:r>
    </w:p>
    <w:p>
      <w:pPr>
        <w:pBdr>
          <w:left w:val="single" w:color="C9A84C" w:sz="12" w:space="12"/>
        </w:pBdr>
        <w:spacing w:after="120"/>
        <w:ind w:left="400"/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  <w:r>
        <w:rPr>
          <w:rFonts w:ascii="Arial" w:eastAsia="Microsoft YaHei"/>
          <w:color w:val="B8BEC8"/>
          <w:sz w:val="22"/>
          <w:szCs w:val="22"/>
        </w:rPr>
        <w:t xml:space="preserve">出品：研报侠 · 个人AI投研工作台</w:t>
      </w:r>
    </w:p>
    <w:p>
      <w:pPr>
        <w:spacing w:after="360" w:before="480"/>
        <w:jc w:val="center"/>
      </w:pPr>
      <w:r>
        <w:rPr>
          <w:rFonts w:ascii="Arial" w:eastAsia="Microsoft YaHei"/>
          <w:b/>
          <w:bCs/>
          <w:color w:val="1A1A1A"/>
          <w:sz w:val="32"/>
          <w:szCs w:val="32"/>
        </w:rPr>
        <w:t xml:space="preserve">目  录</w:t>
      </w:r>
    </w:p>
    <w:sdt>
      <w:sdtPr>
        <w:alias w:val="目录"/>
      </w:sdtPr>
      <w:sdtContent>
        <w:p>
          <w:pPr>
            <w:pStyle w:val="TOC1"/>
            <w:tabs>
              <w:tab w:val="right" w:pos="8788" w:leader="dot"/>
            </w:tabs>
          </w:pPr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  <w:hyperlink w:history="1" w:anchor="_Toc1">
            <w:r>
              <w:t xml:space="preserve">一、投资要点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一、投资要点</w:t>
          </w:r>
          <w:r>
            <w:tab/>
          </w:r>
          <w:r>
            <w:t>2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二、公司概况与治理</w:t>
          </w:r>
          <w:r>
            <w:tab/>
          </w:r>
          <w:r>
            <w:t>3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三、财务分析：困境反转的三重证据</w:t>
          </w:r>
          <w:r>
            <w:tab/>
          </w:r>
          <w:r>
            <w:t>3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3.1 收入重回增长，利润弹性释放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3.2 盈利质量：毛利率三连升与现金流改善</w:t>
          </w:r>
          <w:r>
            <w:tab/>
          </w:r>
          <w:r>
            <w:t>4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3.3 2024年巨亏的拆解：一次性出清而非经营恶化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四、业务与品牌：线上渠道成为新引擎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五、资产梳理：丝芙兰清仓与聚焦主业</w:t>
          </w:r>
          <w:r>
            <w:tab/>
          </w:r>
          <w:r>
            <w:t>5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六、行业与竞争</w:t>
          </w:r>
          <w:r>
            <w:tab/>
          </w:r>
          <w:r>
            <w:t>6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七、盈利预测与估值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7.1 盈利预测（AI生成研究示例口径）</w:t>
          </w:r>
          <w:r>
            <w:tab/>
          </w:r>
          <w:r>
            <w:t>6</w:t>
          </w:r>
        </w:p>
        <w:p>
          <w:pPr>
            <w:pStyle w:val="TOC2"/>
            <w:ind w:left="360"/>
            <w:tabs>
              <w:tab w:val="right" w:leader="dot" w:pos="9026"/>
            </w:tabs>
            <w:spacing w:before="120" w:after="60"/>
          </w:pPr>
          <w:r>
            <w:t>7.2 估值：PB为板，PE看改善斜率</w:t>
          </w:r>
          <w:r>
            <w:tab/>
          </w:r>
          <w:r>
            <w:t>7</w:t>
          </w:r>
        </w:p>
        <w:p>
          <w:pPr>
            <w:pStyle w:val="TOC1"/>
            <w:tabs>
              <w:tab w:val="right" w:leader="dot" w:pos="9026"/>
            </w:tabs>
            <w:spacing w:before="120" w:after="60"/>
          </w:pPr>
          <w:r>
            <w:t>八、风险提示</w:t>
          </w:r>
          <w:r>
            <w:tab/>
          </w:r>
          <w:r>
            <w:t>7</w:t>
          </w:r>
        </w:p>
        <w:p>
          <w:r>
            <w:fldChar w:fldCharType="end"/>
          </w:r>
        </w:p>
      </w:sdtContent>
    </w:sdt>
    <w:p>
      <w:pPr>
        <w:spacing w:before="200"/>
        <w:sectPr>
          <w:footerReference w:type="default" r:id="rId6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  <w:r>
        <w:rPr>
          <w:i/>
          <w:iCs/>
          <w:color w:val="687078"/>
          <w:sz w:val="18"/>
          <w:szCs w:val="18"/>
        </w:rPr>
        <w:t xml:space="preserve">注：本目录由域代码生成。编辑后请右键目录选择「更新域」以刷新页码。</w:t>
      </w:r>
    </w:p>
    <w:p/>
    <w:p>
      <w:pPr>
        <w:pStyle w:val="Heading1"/>
        <w:spacing w:after="160" w:before="320" w:line="312"/>
      </w:pPr>
      <w:bookmarkStart w:name="_Toc1" w:id="1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一、投资要点</w:t>
      </w:r>
      <w:bookmarkEnd w:id="1"/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b/>
          <w:bCs/>
          <w:color w:val="1A1A1A"/>
          <w:sz w:val="24"/>
          <w:szCs w:val="24"/>
        </w:rPr>
        <w:t xml:space="preserve">反转确认：</w:t>
      </w:r>
      <w:r>
        <w:rPr>
          <w:rFonts w:ascii="Arial" w:eastAsia="Microsoft YaHei"/>
          <w:color w:val="26292E"/>
          <w:sz w:val="24"/>
          <w:szCs w:val="24"/>
        </w:rPr>
        <w:t xml:space="preserve">上海家化是国内历史最悠久的民族日化企业之一，2024年经历上市以来首次年度亏损后，在新管理层「卸包袱—聚焦—增长」三步走下进入困境反转通道：2025年营收63.17亿元（+11.2%）、归母净利润2.68亿元扭亏；2026年上半年营收37.91亿元（+9.0%）、归母净利润3.81亿元（+43.4%），其中二季度单季净利润同比增约224%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b/>
          <w:bCs/>
          <w:color w:val="1A1A1A"/>
          <w:sz w:val="24"/>
          <w:szCs w:val="24"/>
        </w:rPr>
        <w:t xml:space="preserve">质量提升：</w:t>
      </w:r>
      <w:r>
        <w:rPr>
          <w:rFonts w:ascii="Arial" w:eastAsia="Microsoft YaHei"/>
          <w:color w:val="26292E"/>
          <w:sz w:val="24"/>
          <w:szCs w:val="24"/>
        </w:rPr>
        <w:t xml:space="preserve">毛利率由2024年的57.6%升至2025年的62.6%、2026年上半年的66.3%，三连升是本轮反转最硬的证据——品牌结构升级与低毛利业务出清同时发生。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b/>
          <w:bCs/>
          <w:color w:val="1A1A1A"/>
          <w:sz w:val="24"/>
          <w:szCs w:val="24"/>
        </w:rPr>
        <w:t xml:space="preserve">资产梳理：</w:t>
      </w:r>
      <w:r>
        <w:rPr>
          <w:rFonts w:ascii="Arial" w:eastAsia="Microsoft YaHei"/>
          <w:color w:val="26292E"/>
          <w:sz w:val="24"/>
          <w:szCs w:val="24"/>
        </w:rPr>
        <w:t xml:space="preserve">2026年8月公告以5.55亿元向LVMH系清仓丝芙兰上海/北京各19%股权，预计贡献税后一次性投资收益约4.74亿元；叠加2024年汤美星商誉减值6.1亿元的出清，历史包袱基本卸载。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b/>
          <w:bCs/>
          <w:color w:val="1A1A1A"/>
          <w:sz w:val="24"/>
          <w:szCs w:val="24"/>
        </w:rPr>
        <w:t xml:space="preserve">估值与催化：</w:t>
      </w:r>
      <w:r>
        <w:rPr>
          <w:rFonts w:ascii="Arial" w:eastAsia="Microsoft YaHei"/>
          <w:color w:val="26292E"/>
          <w:sz w:val="24"/>
          <w:szCs w:val="24"/>
        </w:rPr>
        <w:t xml:space="preserve">现价对应PB约1.75倍，为可比美妆公司中最低（珀莱雅3.64/贝泰妮2.24）；2026年三季度报告预约10月28日披露，重点验证扣非增速与丝芙兰处置收益并表。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b/>
          <w:bCs/>
          <w:color w:val="1A1A1A"/>
          <w:sz w:val="24"/>
          <w:szCs w:val="24"/>
        </w:rPr>
        <w:t xml:space="preserve">评级：</w:t>
      </w:r>
      <w:r>
        <w:rPr>
          <w:rFonts w:ascii="Arial" w:eastAsia="Microsoft YaHei"/>
          <w:color w:val="26292E"/>
          <w:sz w:val="24"/>
          <w:szCs w:val="24"/>
        </w:rPr>
        <w:t xml:space="preserve">首次覆盖给予「买入」评级，目标区间21.0–22.3元（对应2027E扣非净利6.0亿元、PE 22–25倍，及PB修复至2.0–2.27倍），现价18.29元对应上行空间约15%–22%。</w:t>
      </w:r>
    </w:p>
    <w:p>
      <w:pPr>
        <w:pStyle w:val="Heading1"/>
        <w:spacing w:after="160" w:before="320" w:line="312"/>
      </w:pPr>
      <w:bookmarkStart w:name="_Toc2" w:id="2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二、公司概况与治理</w:t>
      </w:r>
      <w:bookmarkEnd w:id="2"/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上海家化联合股份有限公司（600315.SH）前身可追溯至1898年香港广生行，2001年上市，是中国日化行业第一个上市公司。旗下拥有六神（花露水/个护）、佰草集（护肤）、玉泽（皮肤学级护肤）、美加净（手霜/基础护理）、双妹（高端复刻）等品牌，以及海外个护业务汤美星。控股股东上海家化（集团）有限公司持股51.31%（平安系背景），股权结构稳定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治理层面需要正视历史：2013年以来公司五度更换掌舵人。现任董事长兼CEO林小海2024年6月上任，拥有宝洁21年（至大中华区营销总裁）、阿里巴巴集团副总裁、高鑫零售CEO的复合履历。其上任后提出「四个聚焦」与「亿元单品」策略，2026年给出收入两位数增长指引——2026年上半年+9.0%的营收增速初步兑现了方向。</w:t>
      </w:r>
    </w:p>
    <w:p>
      <w:pPr>
        <w:pStyle w:val="Heading1"/>
        <w:spacing w:after="160" w:before="320" w:line="312"/>
      </w:pPr>
      <w:bookmarkStart w:name="_Toc3" w:id="3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三、财务分析：困境反转的三重证据</w:t>
      </w:r>
      <w:bookmarkEnd w:id="3"/>
    </w:p>
    <w:p>
      <w:pPr>
        <w:pStyle w:val="Heading2"/>
        <w:spacing w:after="120" w:before="240" w:line="312"/>
      </w:pPr>
      <w:bookmarkStart w:name="_Toc4" w:id="4"/>
      <w:r>
        <w:rPr>
          <w:rFonts w:ascii="Arial" w:eastAsia="Microsoft YaHei"/>
          <w:b/>
          <w:bCs/>
          <w:color w:val="1A1A1A"/>
          <w:sz w:val="26"/>
          <w:szCs w:val="26"/>
        </w:rPr>
        <w:t xml:space="preserve">3.1 收入重回增长，利润弹性释放</w:t>
      </w:r>
      <w:bookmarkEnd w:id="4"/>
    </w:p>
    <w:p>
      <w:pPr>
        <w:spacing w:after="60" w:before="12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/>
          <w:b/>
          <w:bCs/>
          <w:color w:val="687078"/>
          <w:sz w:val="21"/>
          <w:szCs w:val="21"/>
        </w:rPr>
        <w:t xml:space="preserve">图1  营业总收入与归母净利润（2023–2026H1）</w:t>
      </w:r>
    </w:p>
    <w:tbl>
      <w:tblPr>
        <w:tblW w:type="pct" w:w="5000"/>
        <w:tblBorders>
          <w:top w:val="single" w:color="C9A84C" w:sz="4"/>
          <w:left w:val="none"/>
          <w:bottom w:val="single" w:color="C9A84C" w:sz="4"/>
          <w:right w:val="none"/>
          <w:insideH w:val="single" w:color="D0D0D0" w:sz="1"/>
          <w:insideV w:val="none"/>
        </w:tblBorders>
      </w:tblPr>
      <w:tblGrid>
        <w:gridCol w:w="1406"/>
        <w:gridCol w:w="1582"/>
        <w:gridCol w:w="1230"/>
        <w:gridCol w:w="1582"/>
        <w:gridCol w:w="1230"/>
        <w:gridCol w:w="1758"/>
      </w:tblGrid>
      <w:tr>
        <w:trPr>
          <w:cantSplit/>
          <w:tblHeader/>
        </w:trPr>
        <w:tc>
          <w:tcPr>
            <w:tcW w:type="pct" w:w="8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报告期</w:t>
            </w:r>
          </w:p>
        </w:tc>
        <w:tc>
          <w:tcPr>
            <w:tcW w:type="pct" w:w="9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营业总收入(亿)</w:t>
            </w:r>
          </w:p>
        </w:tc>
        <w:tc>
          <w:tcPr>
            <w:tcW w:type="pct" w:w="7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同比</w:t>
            </w:r>
          </w:p>
        </w:tc>
        <w:tc>
          <w:tcPr>
            <w:tcW w:type="pct" w:w="9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归母净利(亿)</w:t>
            </w:r>
          </w:p>
        </w:tc>
        <w:tc>
          <w:tcPr>
            <w:tcW w:type="pct" w:w="7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同比</w:t>
            </w:r>
          </w:p>
        </w:tc>
        <w:tc>
          <w:tcPr>
            <w:tcW w:type="pct" w:w="10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毛利率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2023年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65.98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-7.2%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5.00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+5.9%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59.0%</w:t>
            </w:r>
          </w:p>
        </w:tc>
      </w:tr>
      <w:tr>
        <w:trPr>
          <w:cantSplit/>
        </w:trPr>
        <w:tc>
          <w:tcPr>
            <w:tcW w:type="pct" w:w="8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2024年</w:t>
            </w:r>
          </w:p>
        </w:tc>
        <w:tc>
          <w:tcPr>
            <w:tcW w:type="pct" w:w="9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56.79</w:t>
            </w:r>
          </w:p>
        </w:tc>
        <w:tc>
          <w:tcPr>
            <w:tcW w:type="pct" w:w="7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-13.9%</w:t>
            </w:r>
          </w:p>
        </w:tc>
        <w:tc>
          <w:tcPr>
            <w:tcW w:type="pct" w:w="9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-8.33</w:t>
            </w:r>
          </w:p>
        </w:tc>
        <w:tc>
          <w:tcPr>
            <w:tcW w:type="pct" w:w="7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-266.6%</w:t>
            </w:r>
          </w:p>
        </w:tc>
        <w:tc>
          <w:tcPr>
            <w:tcW w:type="pct" w:w="10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57.6%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2025年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63.17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+11.2%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2.68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扭亏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62.6%</w:t>
            </w:r>
          </w:p>
        </w:tc>
      </w:tr>
      <w:tr>
        <w:trPr>
          <w:cantSplit/>
        </w:trPr>
        <w:tc>
          <w:tcPr>
            <w:tcW w:type="pct" w:w="8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2026Q1</w:t>
            </w:r>
          </w:p>
        </w:tc>
        <w:tc>
          <w:tcPr>
            <w:tcW w:type="pct" w:w="9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17.95</w:t>
            </w:r>
          </w:p>
        </w:tc>
        <w:tc>
          <w:tcPr>
            <w:tcW w:type="pct" w:w="7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+5.4%</w:t>
            </w:r>
          </w:p>
        </w:tc>
        <w:tc>
          <w:tcPr>
            <w:tcW w:type="pct" w:w="9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2.22</w:t>
            </w:r>
          </w:p>
        </w:tc>
        <w:tc>
          <w:tcPr>
            <w:tcW w:type="pct" w:w="7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+2.3%</w:t>
            </w:r>
          </w:p>
        </w:tc>
        <w:tc>
          <w:tcPr>
            <w:tcW w:type="pct" w:w="10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65.8%</w:t>
            </w:r>
          </w:p>
        </w:tc>
      </w:tr>
      <w:tr>
        <w:trPr>
          <w:cantSplit/>
        </w:trPr>
        <w:tc>
          <w:tcPr>
            <w:tcW w:type="pct" w:w="8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2026H1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37.91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+9.0%</w:t>
            </w:r>
          </w:p>
        </w:tc>
        <w:tc>
          <w:tcPr>
            <w:tcW w:type="pct" w:w="9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3.81</w:t>
            </w:r>
          </w:p>
        </w:tc>
        <w:tc>
          <w:tcPr>
            <w:tcW w:type="pct" w:w="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+43.4%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66.3%</w:t>
            </w:r>
          </w:p>
        </w:tc>
      </w:tr>
    </w:tbl>
    <w:p>
      <w:pPr>
        <w:spacing w:after="120" w:before="60" w:line="280"/>
      </w:pPr>
      <w:r>
        <w:rPr>
          <w:rFonts w:ascii="Arial" w:eastAsia="Microsoft YaHei"/>
          <w:i/>
          <w:iCs/>
          <w:color w:val="687078"/>
          <w:sz w:val="20"/>
          <w:szCs w:val="20"/>
        </w:rPr>
        <w:t xml:space="preserve">数据来源：公司定期报告（经东方财富业绩报表接口核对）。2026Q2单季营收19.96亿元（+12.9%）、归母净利1.59亿元（同比约+224%），二季度显著加速。</w:t>
      </w:r>
    </w:p>
    <w:p>
      <w:pPr>
        <w:pStyle w:val="Heading2"/>
        <w:spacing w:after="120" w:before="240" w:line="312"/>
      </w:pPr>
      <w:bookmarkStart w:name="_Toc5" w:id="5"/>
      <w:r>
        <w:rPr>
          <w:rFonts w:ascii="Arial" w:eastAsia="Microsoft YaHei"/>
          <w:b/>
          <w:bCs/>
          <w:color w:val="1A1A1A"/>
          <w:sz w:val="26"/>
          <w:szCs w:val="26"/>
        </w:rPr>
        <w:t xml:space="preserve">3.2 盈利质量：毛利率三连升与现金流改善</w:t>
      </w:r>
      <w:bookmarkEnd w:id="5"/>
    </w:p>
    <w:p>
      <w:pPr>
        <w:spacing w:after="6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/>
          <w:b/>
          <w:bCs/>
          <w:color w:val="687078"/>
          <w:sz w:val="21"/>
          <w:szCs w:val="21"/>
        </w:rPr>
        <w:t xml:space="preserve">图2  毛利率三连升（2024–2026H1）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毛利率三连升（57.6%→62.6%→66.3%）由两个因素驱动：其一，高毛利的线上直营与皮肤学级护肤占比提升；其二，低毛利、高亏损的海外婴童业务与经销体系收缩。2025年经营性现金流同比增长193.3%、应收账款下降26.5%，收入增长的现金含量高。</w:t>
      </w:r>
    </w:p>
    <w:p>
      <w:pPr>
        <w:pStyle w:val="Heading2"/>
        <w:spacing w:after="120" w:before="240" w:line="312"/>
      </w:pPr>
      <w:bookmarkStart w:name="_Toc6" w:id="6"/>
      <w:r>
        <w:rPr>
          <w:rFonts w:ascii="Arial" w:eastAsia="Microsoft YaHei"/>
          <w:b/>
          <w:bCs/>
          <w:color w:val="1A1A1A"/>
          <w:sz w:val="26"/>
          <w:szCs w:val="26"/>
        </w:rPr>
        <w:t xml:space="preserve">3.3 2024年巨亏的拆解：一次性出清而非经营恶化</w:t>
      </w:r>
      <w:bookmarkEnd w:id="6"/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2024年归母净利润-8.33亿元，其中约6.1亿元来自汤美星（Tommee Tippee）海外婴童业务商誉减值——海外低出生率与竞争加剧导致长期承压，一次性出清后不再拖累报表。剔除减值因素，2024年主业亏损幅度有限；2025年即实现扭亏，验证「卸包袱」逻辑成立。</w:t>
      </w:r>
    </w:p>
    <w:p>
      <w:pPr>
        <w:pStyle w:val="Heading1"/>
        <w:spacing w:after="160" w:before="320" w:line="312"/>
      </w:pPr>
      <w:bookmarkStart w:name="_Toc7" w:id="7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四、业务与品牌：线上渠道成为新引擎</w:t>
      </w:r>
      <w:bookmarkEnd w:id="7"/>
    </w:p>
    <w:p>
      <w:pPr>
        <w:spacing w:after="60" w:before="120"/>
        <w:jc w:val="center"/>
      </w:pPr>
      <w:r>
        <w:drawing>
          <wp:inline distT="0" distB="0" distL="0" distR="0">
            <wp:extent cx="5334000" cy="2486025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rial" w:eastAsia="Microsoft YaHei"/>
          <w:b/>
          <w:bCs/>
          <w:color w:val="687078"/>
          <w:sz w:val="21"/>
          <w:szCs w:val="21"/>
        </w:rPr>
        <w:t xml:space="preserve">图3  核心品牌线上增长（2025年报口径）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分品牌看，2025年六神线上收入同比增长超50%，佰草集超80%，玉泽超30%；抖音自播GMV佰草集+249.9%、玉泽+130.8%、六神+91.2%。2026年上半年核心品牌（六神、玉泽、佰草集）延续线上双位数增长，抖快渠道表现突出。线下渠道方面，公司主动收缩低效百货与经销商体系，资源向线上与新零售倾斜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品牌矩阵的分层逻辑清晰：六神贡献稳定现金流（花露水品类国民级心智），玉泽承接皮肤学级护肤的高增长红利，佰草集承担品牌年轻化与高端化试错，美加净/双妹提供弹性。</w:t>
      </w:r>
    </w:p>
    <w:p>
      <w:pPr>
        <w:pStyle w:val="Heading1"/>
        <w:spacing w:after="160" w:before="320" w:line="312"/>
      </w:pPr>
      <w:bookmarkStart w:name="_Toc8" w:id="8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五、资产梳理：丝芙兰清仓与聚焦主业</w:t>
      </w:r>
      <w:bookmarkEnd w:id="8"/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2026年8月20日（与中报同日）公告：拟以7000万欧元（约5.55亿元人民币）向Sephora Asia（LVMH全资孙公司）出售丝芙兰（上海）、丝芙兰（北京）各19%股权，交易完成后彻底退出经营二十余年的合资项目。两家标的公司已连续亏损三年，公司对其长期股权投资账面价值已减记至零。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交易预计增加税后投资收益约4.74亿元（超过2026年上半年归母净利润总额3.81亿元），属一次性收益，不改变持续盈利能力，但显著增厚净资产并为营销与研发投入提供弹药。该事项是否于三季度并表，以10月28日披露的三季报为准——这是近期最大的报表变量。</w:t>
      </w:r>
    </w:p>
    <w:p>
      <w:pPr>
        <w:pStyle w:val="Heading1"/>
        <w:spacing w:after="160" w:before="320" w:line="312"/>
      </w:pPr>
      <w:bookmarkStart w:name="_Toc9" w:id="9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六、行业与竞争</w:t>
      </w:r>
      <w:bookmarkEnd w:id="9"/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2026年前三季度化妆品类零售总额同比增长6.1%，显著跑赢社会消费品零售总额大盘（+1.1%），行业景气回升。国货品牌在大众护肤与功效性护肤赛道持续抢占国际品牌份额，但价格战与渠道费用高企仍是全行业压力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家化的差异化站位：六神在花露水/夏季个护品类具备国民级心智与定价权；玉泽对标薇诺娜所在的皮肤学级护肤赛道；佰草集以「新中式」概念切入高端化。与国际大牌相比，家化的渠道下沉能力与本土供应链成本占优；与新兴国货相比，家化的品牌历史与全品类布局是护城河，但组织效率与营销敏捷度是短板。</w:t>
      </w:r>
    </w:p>
    <w:p>
      <w:pPr>
        <w:pStyle w:val="Heading1"/>
        <w:spacing w:after="160" w:before="320" w:line="312"/>
      </w:pPr>
      <w:bookmarkStart w:name="_Toc10" w:id="10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七、盈利预测与估值</w:t>
      </w:r>
      <w:bookmarkEnd w:id="10"/>
    </w:p>
    <w:p>
      <w:pPr>
        <w:pStyle w:val="Heading2"/>
        <w:spacing w:after="120" w:before="240" w:line="312"/>
      </w:pPr>
      <w:bookmarkStart w:name="_Toc11" w:id="11"/>
      <w:r>
        <w:rPr>
          <w:rFonts w:ascii="Arial" w:eastAsia="Microsoft YaHei"/>
          <w:b/>
          <w:bCs/>
          <w:color w:val="1A1A1A"/>
          <w:sz w:val="26"/>
          <w:szCs w:val="26"/>
        </w:rPr>
        <w:t xml:space="preserve">7.1 盈利预测（AI生成研究示例口径）</w:t>
      </w:r>
      <w:bookmarkEnd w:id="11"/>
    </w:p>
    <w:tbl>
      <w:tblPr>
        <w:tblW w:type="pct" w:w="5000"/>
        <w:tblBorders>
          <w:top w:val="single" w:color="C9A84C" w:sz="4"/>
          <w:left w:val="none"/>
          <w:bottom w:val="single" w:color="C9A84C" w:sz="4"/>
          <w:right w:val="none"/>
          <w:insideH w:val="single" w:color="D0D0D0" w:sz="1"/>
          <w:insideV w:val="none"/>
        </w:tblBorders>
      </w:tblPr>
      <w:tblGrid>
        <w:gridCol w:w="2461"/>
        <w:gridCol w:w="1758"/>
        <w:gridCol w:w="2285"/>
        <w:gridCol w:w="2285"/>
      </w:tblGrid>
      <w:tr>
        <w:trPr>
          <w:cantSplit/>
          <w:tblHeader/>
        </w:trPr>
        <w:tc>
          <w:tcPr>
            <w:tcW w:type="pct" w:w="14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项目</w:t>
            </w:r>
          </w:p>
        </w:tc>
        <w:tc>
          <w:tcPr>
            <w:tcW w:type="pct" w:w="10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2025A</w:t>
            </w:r>
          </w:p>
        </w:tc>
        <w:tc>
          <w:tcPr>
            <w:tcW w:type="pct" w:w="13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2026E</w:t>
            </w:r>
          </w:p>
        </w:tc>
        <w:tc>
          <w:tcPr>
            <w:tcW w:type="pct" w:w="13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2027E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营业总收入(亿元)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63.17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76–78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84–88</w:t>
            </w:r>
          </w:p>
        </w:tc>
      </w:tr>
      <w:tr>
        <w:trPr>
          <w:cantSplit/>
        </w:trPr>
        <w:tc>
          <w:tcPr>
            <w:tcW w:type="pct" w:w="14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归母净利润(亿元)</w:t>
            </w:r>
          </w:p>
        </w:tc>
        <w:tc>
          <w:tcPr>
            <w:tcW w:type="pct" w:w="10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2.68</w:t>
            </w:r>
          </w:p>
        </w:tc>
        <w:tc>
          <w:tcPr>
            <w:tcW w:type="pct" w:w="13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8.5–9.5（含丝芙兰收益4.74）</w:t>
            </w:r>
          </w:p>
        </w:tc>
        <w:tc>
          <w:tcPr>
            <w:tcW w:type="pct" w:w="13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5.5–6.5</w:t>
            </w:r>
          </w:p>
        </w:tc>
      </w:tr>
      <w:tr>
        <w:trPr>
          <w:cantSplit/>
        </w:trPr>
        <w:tc>
          <w:tcPr>
            <w:tcW w:type="pct" w:w="14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扣非归母净利润(亿元)</w:t>
            </w:r>
          </w:p>
        </w:tc>
        <w:tc>
          <w:tcPr>
            <w:tcW w:type="pct" w:w="10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约2.2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4.2–4.6</w:t>
            </w:r>
          </w:p>
        </w:tc>
        <w:tc>
          <w:tcPr>
            <w:tcW w:type="pct" w:w="13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5.5–6.5</w:t>
            </w:r>
          </w:p>
        </w:tc>
      </w:tr>
      <w:tr>
        <w:trPr>
          <w:cantSplit/>
        </w:trPr>
        <w:tc>
          <w:tcPr>
            <w:tcW w:type="pct" w:w="14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对应PE（现价）</w:t>
            </w:r>
          </w:p>
        </w:tc>
        <w:tc>
          <w:tcPr>
            <w:tcW w:type="pct" w:w="10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45.9倍</w:t>
            </w:r>
          </w:p>
        </w:tc>
        <w:tc>
          <w:tcPr>
            <w:tcW w:type="pct" w:w="13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13–14倍</w:t>
            </w:r>
          </w:p>
        </w:tc>
        <w:tc>
          <w:tcPr>
            <w:tcW w:type="pct" w:w="13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19–22倍</w:t>
            </w:r>
          </w:p>
        </w:tc>
      </w:tr>
    </w:tbl>
    <w:p>
      <w:pPr>
        <w:spacing w:after="120" w:before="60" w:line="280"/>
      </w:pPr>
      <w:r>
        <w:rPr>
          <w:rFonts w:ascii="Arial" w:eastAsia="Microsoft YaHei"/>
          <w:i/>
          <w:iCs/>
          <w:color w:val="687078"/>
          <w:sz w:val="20"/>
          <w:szCs w:val="20"/>
        </w:rPr>
        <w:t xml:space="preserve">预测为基于公开信息的AI情景推演（estimate），非公司指引；2026E含丝芙兰处置收益约4.74亿元的一次性影响。</w:t>
      </w:r>
    </w:p>
    <w:p>
      <w:pPr>
        <w:pStyle w:val="Heading2"/>
        <w:spacing w:after="120" w:before="240" w:line="312"/>
      </w:pPr>
      <w:bookmarkStart w:name="_Toc12" w:id="12"/>
      <w:r>
        <w:rPr>
          <w:rFonts w:ascii="Arial" w:eastAsia="Microsoft YaHei"/>
          <w:b/>
          <w:bCs/>
          <w:color w:val="1A1A1A"/>
          <w:sz w:val="26"/>
          <w:szCs w:val="26"/>
        </w:rPr>
        <w:t xml:space="preserve">7.2 估值：PB为板，PE看改善斜率</w:t>
      </w:r>
      <w:bookmarkEnd w:id="12"/>
    </w:p>
    <w:tbl>
      <w:tblPr>
        <w:tblW w:type="pct" w:w="5000"/>
        <w:tblBorders>
          <w:top w:val="single" w:color="C9A84C" w:sz="4"/>
          <w:left w:val="none"/>
          <w:bottom w:val="single" w:color="C9A84C" w:sz="4"/>
          <w:right w:val="none"/>
          <w:insideH w:val="single" w:color="D0D0D0" w:sz="1"/>
          <w:insideV w:val="none"/>
        </w:tblBorders>
      </w:tblPr>
      <w:tblGrid>
        <w:gridCol w:w="2988"/>
        <w:gridCol w:w="1933"/>
        <w:gridCol w:w="3867"/>
      </w:tblGrid>
      <w:tr>
        <w:trPr>
          <w:cantSplit/>
          <w:tblHeader/>
        </w:trPr>
        <w:tc>
          <w:tcPr>
            <w:tcW w:type="pct" w:w="17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估值锚</w:t>
            </w:r>
          </w:p>
        </w:tc>
        <w:tc>
          <w:tcPr>
            <w:tcW w:type="pct" w:w="11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价格</w:t>
            </w:r>
          </w:p>
        </w:tc>
        <w:tc>
          <w:tcPr>
            <w:tcW w:type="pct" w:w="2200"/>
            <w:shd w:fill="C9A84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eastAsia="Microsoft YaHei"/>
                <w:b/>
                <w:bCs/>
                <w:color w:val="FFFFFF"/>
                <w:sz w:val="21"/>
                <w:szCs w:val="21"/>
              </w:rPr>
              <w:t xml:space="preserve">含义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PB 1.5倍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约15.8元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历史底部区（2026年6月低点15.86元在此位置）</w:t>
            </w:r>
          </w:p>
        </w:tc>
      </w:tr>
      <w:tr>
        <w:trPr>
          <w:cantSplit/>
        </w:trPr>
        <w:tc>
          <w:tcPr>
            <w:tcW w:type="pct" w:w="17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现价 PB 1.75倍</w:t>
            </w:r>
          </w:p>
        </w:tc>
        <w:tc>
          <w:tcPr>
            <w:tcW w:type="pct" w:w="11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18.29元</w:t>
            </w:r>
          </w:p>
        </w:tc>
        <w:tc>
          <w:tcPr>
            <w:tcW w:type="pct" w:w="22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可比公司中最低（珀莱雅3.64/贝泰妮2.24/丸美3.01）</w:t>
            </w:r>
          </w:p>
        </w:tc>
      </w:tr>
      <w:tr>
        <w:trPr>
          <w:cantSplit/>
        </w:trPr>
        <w:tc>
          <w:tcPr>
            <w:tcW w:type="pct" w:w="17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PB 2.0倍</w:t>
            </w:r>
          </w:p>
        </w:tc>
        <w:tc>
          <w:tcPr>
            <w:tcW w:type="pct" w:w="11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约21.0元</w:t>
            </w:r>
          </w:p>
        </w:tc>
        <w:tc>
          <w:tcPr>
            <w:tcW w:type="pct" w:w="2200"/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反转确认后的合理修复上沿</w:t>
            </w:r>
          </w:p>
        </w:tc>
      </w:tr>
      <w:tr>
        <w:trPr>
          <w:cantSplit/>
        </w:trPr>
        <w:tc>
          <w:tcPr>
            <w:tcW w:type="pct" w:w="17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2027E扣非6.0亿×25倍PE</w:t>
            </w:r>
          </w:p>
        </w:tc>
        <w:tc>
          <w:tcPr>
            <w:tcW w:type="pct" w:w="11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约22.3元</w:t>
            </w:r>
          </w:p>
        </w:tc>
        <w:tc>
          <w:tcPr>
            <w:tcW w:type="pct" w:w="2200"/>
            <w:shd w:fill="FAF7E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Arial" w:eastAsia="Microsoft YaHei"/>
                <w:color w:val="26292E"/>
                <w:sz w:val="21"/>
                <w:szCs w:val="21"/>
              </w:rPr>
              <w:t xml:space="preserve">成长兑现的估值锚（对应年内高点23.85元下方）</w:t>
            </w:r>
          </w:p>
        </w:tc>
      </w:tr>
    </w:tbl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综合两种锚：目标区间21.0–22.3元，中枢21.6元，较现价18.29元有约15%–22%上行空间。需要强调：当前扣非口径PE约29倍并不便宜，进一步上行依赖2027年扣非增速的持续验证——「便宜的是资产，不便宜的是盈利」。</w:t>
      </w:r>
    </w:p>
    <w:p>
      <w:pPr>
        <w:pStyle w:val="Heading1"/>
        <w:spacing w:after="160" w:before="320" w:line="312"/>
      </w:pPr>
      <w:bookmarkStart w:name="_Toc13" w:id="13"/>
      <w:r>
        <w:rPr>
          <w:rFonts w:ascii="Arial" w:eastAsia="Microsoft YaHei"/>
          <w:b/>
          <w:bCs/>
          <w:color w:val="1A1A1A"/>
          <w:sz w:val="30"/>
          <w:szCs w:val="30"/>
        </w:rPr>
        <w:t xml:space="preserve">八、风险提示</w:t>
      </w:r>
      <w:bookmarkEnd w:id="13"/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其一，四季度费用集中导致的季节性亏损规律（2025Q4单季亏损1.37亿元）可能重现；其二，美妆行业价格战与渠道费用侵蚀毛利；其三，丝芙兰交易交割进度与收益确认时点存在不确定性；其四，公司近年治理层更迭频繁，战略连续性需持续观察；其五，新品与新渠道投放不及预期的风险。</w:t>
      </w:r>
    </w:p>
    <w:p>
      <w:pPr>
        <w:spacing w:after="80" w:before="0" w:line="312"/>
        <w:ind w:firstLine="480"/>
        <w:jc w:val="both"/>
      </w:pPr>
      <w:r>
        <w:rPr>
          <w:rFonts w:ascii="Arial" w:eastAsia="Microsoft YaHei"/>
          <w:color w:val="26292E"/>
          <w:sz w:val="24"/>
          <w:szCs w:val="24"/>
        </w:rPr>
        <w:t xml:space="preserve">本报告为AI生成研究示例，所有数据来自公司公告与公开渠道（可能存在滞后或口径差异），不构成任何证券投资建议。市场有风险，投资需谨慎。</w:t>
      </w:r>
    </w:p>
    <w:sectPr>
      <w:footerReference w:type="default" r:id="rId7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8"/>
        <w:szCs w:val="18"/>
      </w:rPr>
      <w:fldChar w:fldCharType="begin"/>
    </w:r>
    <w:r>
      <w:rPr>
        <w:color w:val="687078"/>
        <w:sz w:val="18"/>
        <w:szCs w:val="18"/>
      </w:rPr>
      <w:instrText xml:space="preserve">PAGE \* ROMAN \* MERGEFORMAT</w:instrText>
    </w:r>
    <w:r>
      <w:rPr>
        <w:color w:val="687078"/>
        <w:sz w:val="18"/>
        <w:szCs w:val="18"/>
      </w:rPr>
      <w:fldChar w:fldCharType="separate"/>
    </w:r>
    <w:r>
      <w:rPr>
        <w:color w:val="687078"/>
        <w:sz w:val="18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87078"/>
        <w:sz w:val="18"/>
        <w:szCs w:val="18"/>
      </w:rPr>
      <w:fldChar w:fldCharType="begin"/>
    </w:r>
    <w:r>
      <w:rPr>
        <w:color w:val="687078"/>
        <w:sz w:val="18"/>
        <w:szCs w:val="18"/>
      </w:rPr>
      <w:instrText xml:space="preserve">PAGE \* arabic \* MERGEFORMAT</w:instrText>
    </w:r>
    <w:r>
      <w:rPr>
        <w:color w:val="687078"/>
        <w:sz w:val="18"/>
        <w:szCs w:val="18"/>
      </w:rPr>
      <w:fldChar w:fldCharType="separate"/>
    </w:r>
    <w:r>
      <w:rPr>
        <w:color w:val="68707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/>
        <w:color w:val="26292E"/>
        <w:sz w:val="24"/>
        <w:szCs w:val="24"/>
      </w:rPr>
    </w:rPrDefault>
    <w:pPrDefault>
      <w:pPr>
        <w:spacing w:line="312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0bb93fb764b0a2d6e05ebef5a52a53fb833181ce.png"/><Relationship Id="rId10" Type="http://schemas.openxmlformats.org/officeDocument/2006/relationships/image" Target="media/b318ecf4b30cc55b633a0850885cd65e16aa978a.png"/><Relationship Id="rId11" Type="http://schemas.openxmlformats.org/officeDocument/2006/relationships/image" Target="media/58e2898e501c9fe4c056e2074305d5d561466cfb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2026-10-25T13:16:10.229Z</dcterms:created>
  <dcterms:modified xsi:type="dcterms:W3CDTF">2026-10-25T13:16:10.233Z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