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D4272C"/>
          <w:sz w:val="64"/>
        </w:rPr>
        <w:t>义乌小商品出海智能体-OPC</w:t>
      </w:r>
    </w:p>
    <w:p>
      <w:pPr>
        <w:spacing w:before="240"/>
        <w:jc w:val="center"/>
      </w:pPr>
      <w:r>
        <w:rPr>
          <w:rFonts w:ascii="黑体" w:hAnsi="黑体" w:eastAsia="黑体"/>
          <w:b/>
          <w:color w:val="333333"/>
          <w:sz w:val="44"/>
        </w:rPr>
        <w:t>财务预测与商业计划</w:t>
      </w:r>
    </w:p>
    <w:p>
      <w:pPr>
        <w:spacing w:before="400" w:after="400"/>
        <w:jc w:val="center"/>
      </w:pPr>
      <w:r>
        <w:rPr>
          <w:color w:val="D4272C"/>
          <w:sz w:val="24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参赛赛道：2026"直通乌镇"全球互联网大赛 OPC特色赛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创始人：冯亦根（浙江省首批产业教授、高级工程师、工信部认证首席数据官）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日期：2026年6月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一、收入模型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1.1 SaaS订阅收入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定价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目标客户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核心权益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义乌商户专享版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199元/月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义乌本地商户（凭营业执照认证）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出海合规检测、选品推荐、基础翻译、义乌市场数据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基础版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299元/月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中小跨境电商卖家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全功能Agent访问、5国合规库、基础数据看板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高级版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999元/月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成长型外贸企业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全功能Agent、15国合规库、高级数据分析、优先客服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企业定制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50,000元/年起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大型贸易公司/集团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私有部署、定制Agent、专属客户成功经理、API对接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本地化定价策略说明</w:t>
      </w:r>
      <w:r>
        <w:rPr>
          <w:rFonts w:ascii="微软雅黑" w:hAnsi="微软雅黑" w:eastAsia="微软雅黑"/>
          <w:color w:val="555555"/>
          <w:sz w:val="20"/>
        </w:rPr>
        <w:t>：义乌商户专享版定价199元/月，较基础版优惠33%，体现对义乌本地商户的扶持。义乌国际商贸城拥有7.5万个商位，潜在用户基数庞大，通过低价渗透策略快速建立用户基础，形成口碑效应后向高级版转化。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1.2 政府采购收入（B2G）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定价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政府采购年费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50万元/年/城市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政府购买义乌经验数字化复制服务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覆盖范围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39个试点城市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1039模式推广城市全覆盖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服务内容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政策复制+合规+数据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一站式数字化出海公共服务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年收入规模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1,950万元/年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39城 × 50万 = 1,950万/年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政府采购模式说明</w:t>
      </w:r>
      <w:r>
        <w:rPr>
          <w:rFonts w:ascii="微软雅黑" w:hAnsi="微软雅黑" w:eastAsia="微软雅黑"/>
          <w:color w:val="555555"/>
          <w:sz w:val="20"/>
        </w:rPr>
        <w:t>：基于"义乌发展经验"国家战略背书，OPC为39个1039试点城市提供数字化政策复制服务。政府以年费形式采购，每城市50万/年，涵盖政策复制Agent、合规数据库、数据看板等公共服务。这一收入具有高确定性、高毛利、长合同期特征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1.3 城市合伙人分润收入（B2B）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分润比例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30%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合伙人职责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本地运营、商户拓展、本地化服务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OPC职责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技术平台、品牌支持、培训体系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预期年收入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585万元/年</w:t>
            </w:r>
            <w:r>
              <w:rPr>
                <w:rFonts w:ascii="微软雅黑" w:hAnsi="微软雅黑" w:eastAsia="微软雅黑"/>
                <w:sz w:val="19"/>
              </w:rPr>
              <w:t>（39城商户收入的30%分润）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城市合伙人模式说明</w:t>
      </w:r>
      <w:r>
        <w:rPr>
          <w:rFonts w:ascii="微软雅黑" w:hAnsi="微软雅黑" w:eastAsia="微软雅黑"/>
          <w:color w:val="555555"/>
          <w:sz w:val="20"/>
        </w:rPr>
        <w:t>：OPC在39城招募城市合伙人，合伙人负责本地市场推广与商户服务，获得当地商户收入的30%分润。OPC提供技术平台、品牌支持和培训体系。这一模式实现轻资产快速扩张，OPC获得70%收入，合伙人获得30%分润。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二、用户增长预测（12个月）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月新增用户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累计用户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义乌专享版占比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冷启动期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1-3月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50人/月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增长期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4-6月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150人/月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35%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加速期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7-9月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300人/月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1,500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稳定期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10-12月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500人/月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增长逻辑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冷启动期依托义乌商户社群和商贸城线下推广，以义乌专享版低价策略快速获客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增长期通过口碑传播和义乌成功案例外溢至全国跨境电商卖家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加速期借助义新欧班列沿线国家合规覆盖形成差异化壁垒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稳定期企业客户增多，ARPU值提升驱动收入加速增长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三、详细月度收入预测表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3.1 月度用户增长明细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月新增</w:t>
            </w:r>
          </w:p>
        </w:tc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义乌专享</w:t>
            </w:r>
          </w:p>
        </w:tc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基础版</w:t>
            </w:r>
          </w:p>
        </w:tc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高级版</w:t>
            </w:r>
          </w:p>
        </w:tc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企业定制</w:t>
            </w:r>
          </w:p>
        </w:tc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累计用户</w:t>
            </w:r>
          </w:p>
        </w:tc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累计义乌</w:t>
            </w:r>
          </w:p>
        </w:tc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累计基础</w:t>
            </w:r>
          </w:p>
        </w:tc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累计高级</w:t>
            </w:r>
          </w:p>
        </w:tc>
        <w:tc>
          <w:tcPr>
            <w:tcW w:type="dxa" w:w="824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累计企业</w:t>
            </w:r>
          </w:p>
        </w:tc>
      </w:tr>
      <w:tr>
        <w:tc>
          <w:tcPr>
            <w:tcW w:type="dxa" w:w="8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824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M2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</w:tr>
      <w:tr>
        <w:tc>
          <w:tcPr>
            <w:tcW w:type="dxa" w:w="8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M3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57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</w:tr>
      <w:tr>
        <w:tc>
          <w:tcPr>
            <w:tcW w:type="dxa" w:w="824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M4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53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64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31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113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121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61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8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M5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53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64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31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450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166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185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92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</w:tr>
      <w:tr>
        <w:tc>
          <w:tcPr>
            <w:tcW w:type="dxa" w:w="824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M6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53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64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31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219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249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123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</w:tr>
      <w:tr>
        <w:tc>
          <w:tcPr>
            <w:tcW w:type="dxa" w:w="8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M7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130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77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900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309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379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</w:tr>
      <w:tr>
        <w:tc>
          <w:tcPr>
            <w:tcW w:type="dxa" w:w="824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M8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130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77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1,200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399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509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277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</w:tr>
      <w:tr>
        <w:tc>
          <w:tcPr>
            <w:tcW w:type="dxa" w:w="8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M9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130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77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1,500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489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639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354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</w:t>
            </w:r>
          </w:p>
        </w:tc>
      </w:tr>
      <w:tr>
        <w:tc>
          <w:tcPr>
            <w:tcW w:type="dxa" w:w="824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125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241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130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2,000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614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880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484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</w:t>
            </w:r>
          </w:p>
        </w:tc>
      </w:tr>
      <w:tr>
        <w:tc>
          <w:tcPr>
            <w:tcW w:type="dxa" w:w="8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M11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125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241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130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2,500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739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1,121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614</w:t>
            </w:r>
          </w:p>
        </w:tc>
        <w:tc>
          <w:tcPr>
            <w:tcW w:type="dxa" w:w="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26</w:t>
            </w:r>
          </w:p>
        </w:tc>
      </w:tr>
      <w:tr>
        <w:tc>
          <w:tcPr>
            <w:tcW w:type="dxa" w:w="824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M12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125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241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130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864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1,362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744</w:t>
            </w:r>
          </w:p>
        </w:tc>
        <w:tc>
          <w:tcPr>
            <w:tcW w:type="dxa" w:w="824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3.2 月度收入预测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义乌专享MRR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基础版MRR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高级版MRR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企业MRR(摊)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总MRR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企业年费(现金)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月度现金收入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累计收入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3,980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5,681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9,990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4,167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23,818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69,651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69,651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M2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7,960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11,362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19,980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8,334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47,636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89,302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158,953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M3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11,940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17,043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29,970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12,501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71,454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108,953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267,906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M4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22,487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36,179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60,939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20,835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140,440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219,605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487,511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M5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33,034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55,315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91,908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29,169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209,426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280,257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767,768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M6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43,581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74,451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122,877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37,503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278,412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340,909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1,108,677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M7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61,491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113,321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199,800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50,004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424,616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524,612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1,633,289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M8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79,401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152,191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276,723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62,505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570,820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658,315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2,291,604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M9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97,311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191,061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353,646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75,006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717,024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792,018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3,083,622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122,186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263,120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483,516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91,674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960,496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1,068,822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4,152,444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147,061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335,179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613,386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108,342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1,203,968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1,295,626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5,448,070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M12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171,936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407,238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743,256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125,010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1,447,440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1,522,430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6,970,500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说明</w:t>
      </w:r>
      <w:r>
        <w:rPr>
          <w:rFonts w:ascii="微软雅黑" w:hAnsi="微软雅黑" w:eastAsia="微软雅黑"/>
          <w:color w:val="555555"/>
          <w:sz w:val="20"/>
        </w:rPr>
        <w:t>：企业MRR(摊)为企业年费按12个月摊销计入MRR（50,000÷12≈4,167元/月）；企业年费(现金)为当月新签企业客户的实际到账金额；月度现金收入 = 订阅MRR（不含企业摊销）+ 企业年费现金。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四、成本结构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4.1 成本分类明细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成本类别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变动属性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服务器/云服务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阿里云/AWS云主机、CDN、数据库、存储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半变动（随用户量阶梯增长）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AI API调用费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大模型推理、翻译API、合规知识库检索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变动（按调用量计费，为主要变动成本）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人力成本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OPC模式：前6月0元（依托母公司资源），M7起逐步组建专职团队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阶梯固定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营销费用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线上投放、内容营销、展会参展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半变动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义乌本地推广费用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商贸城驻点、商户沙龙、地推团队、本地KOL合作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半变动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其他运营费用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办公、法务、财务、行政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固定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4.2 OPC模式低成本特征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核心优势</w:t>
      </w:r>
      <w:r>
        <w:rPr>
          <w:rFonts w:ascii="微软雅黑" w:hAnsi="微软雅黑" w:eastAsia="微软雅黑"/>
          <w:sz w:val="21"/>
        </w:rPr>
        <w:t>：前6个月人力成本为0，依托母公司（OPC外包产品公司）现有开发团队和基础设施，以内部创业模式启动。产品验证成功后再组建专职团队，极大降低早期试错成本。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4.3 月度成本明细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服务器/云服务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 API调用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人力成本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营销费用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义乌本地推广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其他运营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月度总成本</w:t>
            </w:r>
          </w:p>
        </w:tc>
        <w:tc>
          <w:tcPr>
            <w:tcW w:type="dxa" w:w="10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累计成本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21,000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M2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26,000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47,000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M3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86,000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M4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63,000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149,000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M5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78,000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227,000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M6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322,000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M7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158,000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480,000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M8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197,000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677,000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M9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28,000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248,000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925,000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130,000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320,000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1,245,000</w:t>
            </w:r>
          </w:p>
        </w:tc>
      </w:tr>
      <w:tr>
        <w:tc>
          <w:tcPr>
            <w:tcW w:type="dxa" w:w="10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M11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375,000</w:t>
            </w:r>
          </w:p>
        </w:tc>
        <w:tc>
          <w:tcPr>
            <w:tcW w:type="dxa" w:w="10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1,620,000</w:t>
            </w:r>
          </w:p>
        </w:tc>
      </w:tr>
      <w:tr>
        <w:tc>
          <w:tcPr>
            <w:tcW w:type="dxa" w:w="10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M12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170,000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425,000</w:t>
            </w:r>
          </w:p>
        </w:tc>
        <w:tc>
          <w:tcPr>
            <w:tcW w:type="dxa" w:w="10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2,045,000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人力成本说明</w:t>
      </w:r>
      <w:r>
        <w:rPr>
          <w:rFonts w:ascii="微软雅黑" w:hAnsi="微软雅黑" w:eastAsia="微软雅黑"/>
          <w:color w:val="555555"/>
          <w:sz w:val="20"/>
        </w:rPr>
        <w:t>：M7起组建专职团队——M7:1名开发(兼职), M8-M9:2名全职, M10:3名全职, M11:4名全职, M12:5名全职。人均成本约20,000元/月（含社保）。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五、月度利润表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9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月度收入</w:t>
            </w:r>
          </w:p>
        </w:tc>
        <w:tc>
          <w:tcPr>
            <w:tcW w:type="dxa" w:w="9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月度成本</w:t>
            </w:r>
          </w:p>
        </w:tc>
        <w:tc>
          <w:tcPr>
            <w:tcW w:type="dxa" w:w="9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月度毛利</w:t>
            </w:r>
          </w:p>
        </w:tc>
        <w:tc>
          <w:tcPr>
            <w:tcW w:type="dxa" w:w="9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毛利率</w:t>
            </w:r>
          </w:p>
        </w:tc>
        <w:tc>
          <w:tcPr>
            <w:tcW w:type="dxa" w:w="9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月度净利</w:t>
            </w:r>
          </w:p>
        </w:tc>
        <w:tc>
          <w:tcPr>
            <w:tcW w:type="dxa" w:w="9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净利率</w:t>
            </w:r>
          </w:p>
        </w:tc>
        <w:tc>
          <w:tcPr>
            <w:tcW w:type="dxa" w:w="9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累计收入</w:t>
            </w:r>
          </w:p>
        </w:tc>
        <w:tc>
          <w:tcPr>
            <w:tcW w:type="dxa" w:w="9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累计成本</w:t>
            </w:r>
          </w:p>
        </w:tc>
        <w:tc>
          <w:tcPr>
            <w:tcW w:type="dxa" w:w="907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累计净利润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69,651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48,651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69.8%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48,651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69.8%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69,651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48,651</w:t>
            </w:r>
          </w:p>
        </w:tc>
      </w:tr>
      <w:tr>
        <w:tc>
          <w:tcPr>
            <w:tcW w:type="dxa" w:w="9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M2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89,302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26,000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63,302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70.9%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63,302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70.9%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158,953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47,000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111,953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108,953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69,953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64.2%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69,953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64.2%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267,906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86,000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181,906</w:t>
            </w:r>
          </w:p>
        </w:tc>
      </w:tr>
      <w:tr>
        <w:tc>
          <w:tcPr>
            <w:tcW w:type="dxa" w:w="9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M4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219,605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63,000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156,605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71.3%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156,605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71.3%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487,511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149,000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338,511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280,257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78,000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202,257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72.2%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202,257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72.2%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767,768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227,000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540,768</w:t>
            </w:r>
          </w:p>
        </w:tc>
      </w:tr>
      <w:tr>
        <w:tc>
          <w:tcPr>
            <w:tcW w:type="dxa" w:w="9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M6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340,909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95,000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245,909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72.1%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245,909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72.1%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1,108,677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322,000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786,677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524,612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158,000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366,612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69.9%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366,612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69.9%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1,633,289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480,000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1,153,289</w:t>
            </w:r>
          </w:p>
        </w:tc>
      </w:tr>
      <w:tr>
        <w:tc>
          <w:tcPr>
            <w:tcW w:type="dxa" w:w="9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M8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658,315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197,000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461,315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70.1%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461,315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70.1%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2,291,604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677,000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1,614,604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792,018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248,000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544,018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68.7%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544,018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68.7%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3,083,622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925,000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2,158,622</w:t>
            </w:r>
          </w:p>
        </w:tc>
      </w:tr>
      <w:tr>
        <w:tc>
          <w:tcPr>
            <w:tcW w:type="dxa" w:w="9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1,068,822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320,000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748,822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70.1%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748,822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70.1%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4,152,444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1,245,000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2,907,444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1,295,626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375,000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920,626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71.1%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920,626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71.1%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5,448,070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1,620,000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3,828,070</w:t>
            </w:r>
          </w:p>
        </w:tc>
      </w:tr>
      <w:tr>
        <w:tc>
          <w:tcPr>
            <w:tcW w:type="dxa" w:w="907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M12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1,522,430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425,000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1,097,430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72.1%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1,097,430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72.1%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6,970,500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2,045,000</w:t>
            </w:r>
          </w:p>
        </w:tc>
        <w:tc>
          <w:tcPr>
            <w:tcW w:type="dxa" w:w="907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4,925,500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关键洞察</w:t>
      </w:r>
      <w:r>
        <w:rPr>
          <w:rFonts w:ascii="微软雅黑" w:hAnsi="微软雅黑" w:eastAsia="微软雅黑"/>
          <w:color w:val="555555"/>
          <w:sz w:val="20"/>
        </w:rPr>
        <w:t>：得益于OPC模式前6月零人力成本，项目从第1个月即实现盈利。全年净利润率稳定在68%-72%，体现SaaS业务高毛利特征。M7起虽增加人力投入，但收入增速更快，净利率不降反升。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六、敏感性分析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6.1 三种场景对比（M12数据）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乐观场景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基准场景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悲观场景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假设条件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用户+20%，成本-10%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按预测模型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用户-30%，成本+15%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累计用户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3,600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2,100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MRR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173.7万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144.7万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101.3万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月度收入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182.7万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152.2万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106.6万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月度成本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38.3万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42.5万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48.9万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月度净利润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144.4万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109.7万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57.7万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净利率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79.0%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72.1%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54.1%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累计收入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836.5万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697.1万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487.9万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累计净利润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613.8万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492.6万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279.5万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6.2 关键变量敏感性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变量变动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MRR影响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净利润影响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盈亏平衡影响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用户增长-20%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-29.0万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-98.8万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仍M1盈利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AI API成本+30%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-28.5万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仍M1盈利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义乌专享版占比+10%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-8.2万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-8.2万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影响较小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企业客户-50%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-18.8万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-50.0万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仍M1盈利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月流失率5%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-43.4万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-147.8万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延至M2盈利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七、关键假设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假设项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假设值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依据/说明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月用户流失率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0%（模型中暂未计入）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早期用户以年付为主，实际流失率预计3-5%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A2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义乌商户专享版占比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初期40%→后期25%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冷启动期义乌本地渗透，后期全国用户占比提升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版本分布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基础版占主体(45%)，高级版25%，企业1%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符合SaaS典型漏斗分布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A4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企业客户年费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50,000元/年起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基于市场调研，义乌大型贸易公司可接受区间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OPC人力成本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前6月0元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依托母公司开发资源，内部创业模式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A6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AI API单位成本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随用户量阶梯增长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大模型调用为主要变动成本，规模效应后单价下降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义乌本地获客成本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约150元/人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线下地推+商户社群，低于行业平均CAC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A8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用户付费转化率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15%（注册→付费）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免费试用7天后转化，行业SaaS平均10-20%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宏观环境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义乌出口持续增长，跨境电商政策利好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基于2024-2025年义乌出口数据趋势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A10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竞争格局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无直接竞品提供义乌专属出海Agent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差异化定位，6-12个月先发优势窗口期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八、资金使用计划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首轮融资：100万元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口径对齐</w:t>
      </w:r>
      <w:r>
        <w:rPr>
          <w:rFonts w:ascii="微软雅黑" w:hAnsi="微软雅黑" w:eastAsia="微软雅黑"/>
          <w:color w:val="555555"/>
          <w:sz w:val="20"/>
        </w:rPr>
        <w:t>：本表与《核心数字基准表》《答辩QA手册》统一为 40/30/20/10 四分类（废弃旧版 30/25/20/15/10 五分类）。AI API 调用费用并入"技术研发"（大模型推理是研发核心成本），义乌本地化投入并入"市场拓展"（商贸城驻点/地推是市场活动）。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金额（万元）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技术研发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7个Agent持续优化、新Agent开发、多语言适配、AI API调用费用（大模型推理/翻译/合规知识库）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市场拓展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义乌商贸城地推与驻点、商户沙龙与培训、本地KOL/商会合作、线上投放、行业展会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团队建设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核心工程师招聘（AI/全栈）、跨境运营与政策研究人才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运营储备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应急资金、法务合规、服务器与日常运营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资金使用时间表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主要投入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预计消耗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MVP验证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M1-M3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技术研发为主 + 义乌内测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30万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增长启动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M4-M6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市场拓展为主 + 用户增长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35万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规模化准备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M7-M9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团队组建 + 功能扩展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25万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储备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M10-M12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应急 + 优化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10万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资金效率</w:t>
      </w:r>
      <w:r>
        <w:rPr>
          <w:rFonts w:ascii="微软雅黑" w:hAnsi="微软雅黑" w:eastAsia="微软雅黑"/>
          <w:color w:val="555555"/>
          <w:sz w:val="20"/>
        </w:rPr>
        <w:t>：由于OPC模式前6月零人力成本，100万资金可支撑至M9以上。M3即可实现正向现金流，实际资金消耗远低于传统创业模式。预计M6后可依靠自身收入运转，无需追加融资。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九、核心财务指标汇总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MRR（M12）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144.7万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月度经常性收入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ARR（M12）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1,736.9万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年化经常性收入 = MRR × 12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累计收入（12月）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697.1万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全年现金收入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累计净利润（12月）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492.6万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全年净利润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净利率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72.1%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M12月度净利率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毛利率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72.1%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SaaS典型高毛利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CAC（客户获取成本）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~200元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加权平均获客成本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LTV（客户生命周期价值）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~10,920元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ARPU × 24月（预估生命周期）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LTV/CAC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~54x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远超行业基准3-5x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ARPU（M12）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482元/月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加权平均每用户月收入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回本周期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&lt;1个月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极短回本周期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盈亏平衡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M1即盈利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OPC模式低成本优势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资金消耗率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2.1万/月（M1）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前6月平均月消耗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资金跑道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&gt;24个月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100万融资下的资金续航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企业客户占比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1%（M12）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数量少但ARPU极高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义乌专享版占比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28.8%（M12）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本地化用户基础稳固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核心结论</w:t>
      </w:r>
      <w:r>
        <w:rPr>
          <w:rFonts w:ascii="微软雅黑" w:hAnsi="微软雅黑" w:eastAsia="微软雅黑"/>
          <w:color w:val="555555"/>
          <w:sz w:val="20"/>
        </w:rPr>
        <w:t>：义乌小商品出海智能体凭借OPC低成本模式+义乌本地化定价策略，实现了从首月即盈利的优异财务表现。LTV/CAC比率远超行业基准，表明单位经济模型极其健康。100万首轮融资可支撑至自我造血，资金使用效率极高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十、39城复制推广24个月收入预测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10.1 39城复制推广时间表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覆盖城市数</w:t>
            </w:r>
          </w:p>
        </w:tc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政府采购签约</w:t>
            </w:r>
          </w:p>
        </w:tc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城市合伙人招募</w:t>
            </w:r>
          </w:p>
        </w:tc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商户拓展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试点期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M13-15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5城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5城签约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5名合伙人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每城50商户</w:t>
            </w:r>
          </w:p>
        </w:tc>
      </w:tr>
      <w:tr>
        <w:tc>
          <w:tcPr>
            <w:tcW w:type="dxa" w:w="1511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扩展期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M16-18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15城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累计15城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累计15名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每城100商户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加速期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M19-21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30城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累计30城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累计30名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每城150商户</w:t>
            </w:r>
          </w:p>
        </w:tc>
      </w:tr>
      <w:tr>
        <w:tc>
          <w:tcPr>
            <w:tcW w:type="dxa" w:w="1511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全覆盖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M22-24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39城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累计39城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累计39名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每城200商户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10.2 39城复制推广季度收入预测表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季度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签约城市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政府采购收入(万)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39城商户SaaS收入(万)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城市合伙人分润(万)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OPC净收入(万)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季度合计(万)</w:t>
            </w:r>
          </w:p>
        </w:tc>
        <w:tc>
          <w:tcPr>
            <w:tcW w:type="dxa" w:w="11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累计收入(万)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M13-15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5城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62.5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26.3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-11.3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77.5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751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751</w:t>
            </w:r>
          </w:p>
        </w:tc>
      </w:tr>
      <w:tr>
        <w:tc>
          <w:tcPr>
            <w:tcW w:type="dxa" w:w="11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M16-18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15城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187.5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78.8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-33.8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232.5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1,500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2,251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M19-21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30城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375.0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157.5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-67.5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465.0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2,251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4,502</w:t>
            </w:r>
          </w:p>
        </w:tc>
      </w:tr>
      <w:tr>
        <w:tc>
          <w:tcPr>
            <w:tcW w:type="dxa" w:w="11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M22-24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39城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487.5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315.0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-135.0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667.5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  <w:tc>
          <w:tcPr>
            <w:tcW w:type="dxa" w:w="11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7,502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说明</w:t>
      </w:r>
      <w:r>
        <w:rPr>
          <w:rFonts w:ascii="微软雅黑" w:hAnsi="微软雅黑" w:eastAsia="微软雅黑"/>
          <w:color w:val="555555"/>
          <w:sz w:val="20"/>
        </w:rPr>
        <w:t>：政府采购收入按50万/年/城市计算，季度摊销为12.5万/城市/季；商户SaaS收入按平均客单价500元/月计算；城市合伙人分润为商户SaaS收入的30%，从OPC收入中扣除。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10.3 24个月总营收汇总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M1-12（义乌本地）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M13-24（39城复制）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24个月合计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SaaS订阅收入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697.1万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1,950万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2,647.1万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政府采购收入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1,112.5万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1,112.5万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企业年费（现金）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150万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450万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城市合伙人分润（扣除）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-247.5万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-247.5万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净收入合计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847.1万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3,115万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3,962.1万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十一、三级增长飞轮收入模型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11.1 飞轮模型概述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OPC的增长遵循三级飞轮模型，每一级飞轮为下一级提供数据和经验基础，形成指数级增长曲线：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第一级飞轮（义乌1.0）→ 验证模式 → 第二级飞轮（39城2.0）→ 规模化 → 第三级飞轮（全国3.0）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11.2 第一级飞轮：义乌本地（1-12个月）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核心市场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义乌本地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7.5万商铺、210万SKU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MRR（M12）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144.7万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月度经常性收入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ARR（M12）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1,736.9万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年化经常性收入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累计收入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697.1万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12个月累计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累计净利润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492.6万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12个月累计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关键里程碑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M1即盈利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OPC模式低成本优势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飞轮逻辑</w:t>
      </w:r>
      <w:r>
        <w:rPr>
          <w:rFonts w:ascii="微软雅黑" w:hAnsi="微软雅黑" w:eastAsia="微软雅黑"/>
          <w:sz w:val="21"/>
        </w:rPr>
        <w:t>：义乌本地商户 → 数据积累 → Agent精准度提升 → 更多商户 → 更丰富数据 → 正向循环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11.3 第二级飞轮：39城复制（13-24个月）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核心市场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39个1039试点城市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政策复制+城市合伙人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政府采购年收入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1,950万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39城 × 50万/年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39城商户MRR（M24）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390万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39城 × 每城200商户 × 500元/月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城市合伙人分润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合伙人获得当地商户收入30%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新增年收入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3,115万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M13-24净收入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关键里程碑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B2G+B2B双轮驱动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政府采购+城市合伙人模式验证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飞轮逻辑</w:t>
      </w:r>
      <w:r>
        <w:rPr>
          <w:rFonts w:ascii="微软雅黑" w:hAnsi="微软雅黑" w:eastAsia="微软雅黑"/>
          <w:sz w:val="21"/>
        </w:rPr>
        <w:t>：义乌经验复制 → 39城政策网络 → 政府采购收入 → 城市合伙人拓展 → 更多商户 → 更强数据飞轮 → 正向循环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11.4 第三级飞轮：全国县域经济（25-36个月）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核心市场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2,800+县域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全国小商品产业带数字化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预期ARR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5,000万+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SaaS+政府采购+生态收入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覆盖模式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县域合伙人+产业带联盟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从城市下沉到县域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生态收入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平台交易佣金+增值服务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从SaaS到平台生态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关键里程碑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平台生态成型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从工具到生态的跨越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飞轮逻辑</w:t>
      </w:r>
      <w:r>
        <w:rPr>
          <w:rFonts w:ascii="微软雅黑" w:hAnsi="微软雅黑" w:eastAsia="微软雅黑"/>
          <w:sz w:val="21"/>
        </w:rPr>
        <w:t>：39城网络 → 县域下沉 → 产业带数字化 → 平台生态 → 交易佣金+增值服务 → 更大网络效应 → 正向循环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11.5 三级飞轮收入增长曲线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MRR</w:t>
            </w:r>
          </w:p>
        </w:tc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ARR</w:t>
            </w:r>
          </w:p>
        </w:tc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累计收入</w:t>
            </w:r>
          </w:p>
        </w:tc>
        <w:tc>
          <w:tcPr>
            <w:tcW w:type="dxa" w:w="1511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第一级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M1-12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144.7万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1,736.9万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697.1万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511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第二级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M13-24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534.7万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6,416.9万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3,812.1万</w:t>
            </w:r>
          </w:p>
        </w:tc>
        <w:tc>
          <w:tcPr>
            <w:tcW w:type="dxa" w:w="1511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447%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第三级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M25-36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1,200万+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14,400万+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10,000万+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162%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核心结论</w:t>
      </w:r>
      <w:r>
        <w:rPr>
          <w:rFonts w:ascii="微软雅黑" w:hAnsi="微软雅黑" w:eastAsia="微软雅黑"/>
          <w:color w:val="555555"/>
          <w:sz w:val="20"/>
        </w:rPr>
        <w:t>：三级增长飞轮模型使OPC从义乌本地SaaS工具，进化为39城政策复制平台，最终成为全国小商品数字化基础设施。每一级飞轮的启动都为下一级提供更强的数据基础、更广的网络效应和更深的壁垒，形成不可逆转的增长势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>义乌小商品出海智能体-OPC 财务预测与商业计划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