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计算机软件著作权登记信息表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>
              <w:rPr>
                <w:b/>
                <w:sz w:val="21"/>
              </w:rPr>
              <w:t>软件全称</w:t>
            </w:r>
          </w:p>
        </w:tc>
        <w:tc>
          <w:tcPr>
            <w:tcW w:type="dxa" w:w="6803"/>
          </w:tcPr>
          <w:p>
            <w:r>
              <w:rPr>
                <w:sz w:val="21"/>
              </w:rPr>
              <w:t>义乌小商品出海智能体平台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1"/>
              </w:rPr>
              <w:t>软件简称</w:t>
            </w:r>
          </w:p>
        </w:tc>
        <w:tc>
          <w:tcPr>
            <w:tcW w:type="dxa" w:w="6803"/>
          </w:tcPr>
          <w:p>
            <w:r>
              <w:rPr>
                <w:sz w:val="21"/>
              </w:rPr>
              <w:t>义乌出海智能体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1"/>
              </w:rPr>
              <w:t>版本号</w:t>
            </w:r>
          </w:p>
        </w:tc>
        <w:tc>
          <w:tcPr>
            <w:tcW w:type="dxa" w:w="6803"/>
          </w:tcPr>
          <w:p>
            <w:r>
              <w:rPr>
                <w:sz w:val="21"/>
              </w:rPr>
              <w:t>V1.0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1"/>
              </w:rPr>
              <w:t>开发完成日期</w:t>
            </w:r>
          </w:p>
        </w:tc>
        <w:tc>
          <w:tcPr>
            <w:tcW w:type="dxa" w:w="6803"/>
          </w:tcPr>
          <w:p>
            <w:r>
              <w:rPr>
                <w:sz w:val="21"/>
              </w:rPr>
              <w:t>2026-09-07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1"/>
              </w:rPr>
              <w:t>首次发表日期</w:t>
            </w:r>
          </w:p>
        </w:tc>
        <w:tc>
          <w:tcPr>
            <w:tcW w:type="dxa" w:w="6803"/>
          </w:tcPr>
          <w:p>
            <w:r>
              <w:rPr>
                <w:sz w:val="21"/>
              </w:rPr>
              <w:t>未发表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1"/>
              </w:rPr>
              <w:t>著作权人</w:t>
            </w:r>
          </w:p>
        </w:tc>
        <w:tc>
          <w:tcPr>
            <w:tcW w:type="dxa" w:w="6803"/>
          </w:tcPr>
          <w:p>
            <w:r>
              <w:rPr>
                <w:sz w:val="21"/>
              </w:rPr>
              <w:t>（按申请主体填写）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1"/>
              </w:rPr>
              <w:t>开发方式</w:t>
            </w:r>
          </w:p>
        </w:tc>
        <w:tc>
          <w:tcPr>
            <w:tcW w:type="dxa" w:w="6803"/>
          </w:tcPr>
          <w:p>
            <w:r>
              <w:rPr>
                <w:sz w:val="21"/>
              </w:rPr>
              <w:t>独立开发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1"/>
              </w:rPr>
              <w:t>软件用途</w:t>
            </w:r>
          </w:p>
        </w:tc>
        <w:tc>
          <w:tcPr>
            <w:tcW w:type="dxa" w:w="6803"/>
          </w:tcPr>
          <w:p>
            <w:r>
              <w:rPr>
                <w:sz w:val="21"/>
              </w:rPr>
              <w:t>面向跨境电商的一站式AI智能服务平台：为义乌小商品商户提供市场洞察、智能选品、供应链匹配、跨境内容生成、合规查询、智能客服、政策复制七大AI Agent全链路服务，助力义乌经验向全国39个市场采购贸易试点城市复制推广。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1"/>
              </w:rPr>
              <w:t>技术特点</w:t>
            </w:r>
          </w:p>
        </w:tc>
        <w:tc>
          <w:tcPr>
            <w:tcW w:type="dxa" w:w="6803"/>
          </w:tcPr>
          <w:p>
            <w:r>
              <w:rPr>
                <w:sz w:val="21"/>
              </w:rPr>
              <w:t>基于 FastAPI + LangGraph 的多Agent编排架构（StateGraph条件路由）；LLM 大模型增强（主备双模自动降级、推理模型空内容自愈）；React 18 前端；SQLite 持久化；103 个自动化单元测试全绿；Docker 容器化部署于魔搭创空间并具备 CI/CD 流水线与部署后 AI 生效性冒烟测试。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1"/>
              </w:rPr>
              <w:t>编程语言</w:t>
            </w:r>
          </w:p>
        </w:tc>
        <w:tc>
          <w:tcPr>
            <w:tcW w:type="dxa" w:w="6803"/>
          </w:tcPr>
          <w:p>
            <w:r>
              <w:rPr>
                <w:sz w:val="21"/>
              </w:rPr>
              <w:t>Python 3.12 / TypeScript（React 18）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1"/>
              </w:rPr>
              <w:t>源程序量</w:t>
            </w:r>
          </w:p>
        </w:tc>
        <w:tc>
          <w:tcPr>
            <w:tcW w:type="dxa" w:w="6803"/>
          </w:tcPr>
          <w:p>
            <w:r>
              <w:rPr>
                <w:sz w:val="21"/>
              </w:rPr>
              <w:t>约 5,535 行（Python 后端+测试），另有 TypeScript 前端约 8,000 行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1"/>
              </w:rPr>
              <w:t>运行环境</w:t>
            </w:r>
          </w:p>
        </w:tc>
        <w:tc>
          <w:tcPr>
            <w:tcW w:type="dxa" w:w="6803"/>
          </w:tcPr>
          <w:p>
            <w:r>
              <w:rPr>
                <w:sz w:val="21"/>
              </w:rPr>
              <w:t>服务端：Linux/Windows，Python 3.12+，2vCPU/16GB 内存容器；客户端：现代浏览器（Chrome/Edge）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1"/>
              </w:rPr>
              <w:t>软件功能模块</w:t>
            </w:r>
          </w:p>
        </w:tc>
        <w:tc>
          <w:tcPr>
            <w:tcW w:type="dxa" w:w="6803"/>
          </w:tcPr>
          <w:p>
            <w:r>
              <w:rPr>
                <w:sz w:val="21"/>
              </w:rPr>
              <w:t>①市场洞察Agent ②智能选品Agent ③供应链匹配Agent ④跨境内容生成Agent ⑤合规助手Agent ⑥智能客服Agent ⑦政策复制Agent ⑧用户认证与用量统计 ⑨LLM服务层（主备降级+限额）</w:t>
            </w:r>
          </w:p>
        </w:tc>
      </w:tr>
    </w:tbl>
    <w:p/>
    <w:p>
      <w:r>
        <w:t>备注：源代码文档（每页50行，前30页+后30页）见《软著-源代码文档.docx》；程序说明书见《用户使用手册》。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