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Georgia" w:hAnsi="Georgia"/>
          <w:b/>
          <w:color w:val="D4272C"/>
          <w:sz w:val="40"/>
          <w:rFonts w:ascii="Georgia" w:hAnsi="Georgia"/>
        </w:rPr>
        <w:t>Yiwu Going-Global AI Agent (OPC)</w:t>
      </w:r>
    </w:p>
    <w:p>
      <w:pPr>
        <w:spacing w:before="0" w:after="80" w:line="252" w:lineRule="auto"/>
        <w:jc w:val="center"/>
      </w:pPr>
      <w:r>
        <w:rPr>
          <w:rFonts w:ascii="Georgia" w:hAnsi="Georgia"/>
          <w:i/>
          <w:color w:val="6B7280"/>
          <w:sz w:val="22"/>
          <w:rFonts w:ascii="Georgia" w:hAnsi="Georgia"/>
        </w:rPr>
        <w:t>One-Person-Company · One AI Team · One Click to the World</w:t>
      </w:r>
    </w:p>
    <w:p>
      <w:pPr>
        <w:spacing w:before="40" w:after="120" w:line="276" w:lineRule="auto"/>
        <w:ind w:left="227" w:right="227"/>
        <w:jc w:val="both"/>
        <w:pBdr>
          <w:left w:val="single" w:sz="18" w:color="D4272C" w:space="8"/>
        </w:pBdr>
      </w:pPr>
      <w:r>
        <w:rPr>
          <w:rFonts w:ascii="Calibri" w:hAnsi="Calibri" w:cs="Calibri"/>
          <w:color w:val="1F2937"/>
          <w:sz w:val="19"/>
        </w:rPr>
        <w:t>Empowering 75,000 Yiwu merchants and 2.1 million MSMEs across 39 national market-procurement pilot cities to sell globally — with a team of 7 AI agents replacing the traditional 7-role foreign-trade back office.</w:t>
      </w:r>
    </w:p>
    <w:p>
      <w:pPr>
        <w:spacing w:before="0" w:after="120" w:line="240" w:lineRule="auto"/>
        <w:jc w:val="center"/>
      </w:pPr>
      <w:r>
        <w:rPr>
          <w:rFonts w:ascii="Calibri" w:hAnsi="Calibri" w:cs="Calibri"/>
          <w:b/>
          <w:color w:val="6B7280"/>
          <w:sz w:val="18"/>
        </w:rPr>
        <w:t>Founder:</w:t>
      </w:r>
      <w:r>
        <w:rPr>
          <w:rFonts w:ascii="Calibri" w:hAnsi="Calibri" w:cs="Calibri"/>
          <w:color w:val="6B7280"/>
          <w:sz w:val="18"/>
        </w:rPr>
        <w:t xml:space="preserve"> Yigen Feng · </w:t>
      </w:r>
      <w:r>
        <w:rPr>
          <w:rFonts w:ascii="Calibri" w:hAnsi="Calibri" w:cs="Calibri"/>
          <w:b/>
          <w:color w:val="6B7280"/>
          <w:sz w:val="18"/>
        </w:rPr>
        <w:t>Stage:</w:t>
      </w:r>
      <w:r>
        <w:rPr>
          <w:rFonts w:ascii="Calibri" w:hAnsi="Calibri" w:cs="Calibri"/>
          <w:color w:val="6B7280"/>
          <w:sz w:val="18"/>
        </w:rPr>
        <w:t xml:space="preserve"> Seed · </w:t>
      </w:r>
      <w:r>
        <w:rPr>
          <w:rFonts w:ascii="Calibri" w:hAnsi="Calibri" w:cs="Calibri"/>
          <w:b/>
          <w:color w:val="6B7280"/>
          <w:sz w:val="18"/>
        </w:rPr>
        <w:t>Ask:</w:t>
      </w:r>
      <w:r>
        <w:rPr>
          <w:rFonts w:ascii="Calibri" w:hAnsi="Calibri" w:cs="Calibri"/>
          <w:color w:val="6B7280"/>
          <w:sz w:val="18"/>
        </w:rPr>
        <w:t xml:space="preserve"> CNY 1,000,000 · </w:t>
      </w:r>
      <w:r>
        <w:rPr>
          <w:rFonts w:ascii="Calibri" w:hAnsi="Calibri" w:cs="Calibri"/>
          <w:b/>
          <w:color w:val="6B7280"/>
          <w:sz w:val="18"/>
        </w:rPr>
        <w:t>Contact:</w:t>
      </w:r>
      <w:r>
        <w:rPr>
          <w:rFonts w:ascii="Calibri" w:hAnsi="Calibri" w:cs="Calibri"/>
          <w:color w:val="6B7280"/>
          <w:sz w:val="18"/>
        </w:rPr>
        <w:t xml:space="preserve"> yigen.feng0707@gmail.com</w:t>
      </w:r>
    </w:p>
    <w:p>
      <w:pPr>
        <w:spacing w:before="40" w:after="80" w:line="240" w:lineRule="auto"/>
        <w:pBdr>
          <w:bottom w:val="single" w:sz="6" w:color="D4272C" w:space="1"/>
        </w:pBdr>
      </w:pPr>
    </w:p>
    <w:p>
      <w:pPr>
        <w:spacing w:before="160" w:after="60" w:line="240" w:lineRule="auto"/>
        <w:pBdr>
          <w:bottom w:val="single" w:sz="6" w:color="E5E7EB" w:space="2"/>
        </w:pBdr>
      </w:pPr>
      <w:r>
        <w:rPr>
          <w:rFonts w:ascii="Georgia" w:hAnsi="Georgia"/>
          <w:b/>
          <w:color w:val="D4272C"/>
          <w:sz w:val="24"/>
          <w:rFonts w:ascii="Georgia" w:hAnsi="Georgia"/>
        </w:rPr>
        <w:t>1. The Problem</w:t>
      </w:r>
    </w:p>
    <w:p>
      <w:pPr>
        <w:spacing w:before="0" w:after="60" w:line="276" w:lineRule="auto"/>
        <w:jc w:val="both"/>
      </w:pPr>
      <w:r>
        <w:rPr>
          <w:rFonts w:ascii="Calibri" w:hAnsi="Calibri" w:cs="Calibri"/>
          <w:color w:val="1F2937"/>
          <w:sz w:val="19"/>
        </w:rPr>
        <w:t xml:space="preserve">Yiwu — the world's largest small-commodities market — moved </w:t>
      </w:r>
      <w:r>
        <w:rPr>
          <w:rFonts w:ascii="Calibri" w:hAnsi="Calibri" w:cs="Calibri"/>
          <w:b/>
          <w:color w:val="1F2937"/>
          <w:sz w:val="19"/>
        </w:rPr>
        <w:t>CNY 836.5 billion</w:t>
      </w:r>
      <w:r>
        <w:rPr>
          <w:rFonts w:ascii="Calibri" w:hAnsi="Calibri" w:cs="Calibri"/>
          <w:color w:val="1F2937"/>
          <w:sz w:val="19"/>
        </w:rPr>
        <w:t xml:space="preserve"> in imports and exports in 2025 (+16.2% YoY), more than 12 Chinese provinces. Yet fewer than </w:t>
      </w:r>
      <w:r>
        <w:rPr>
          <w:rFonts w:ascii="Calibri" w:hAnsi="Calibri" w:cs="Calibri"/>
          <w:b/>
          <w:color w:val="1F2937"/>
          <w:sz w:val="19"/>
        </w:rPr>
        <w:t>15% of its 75,000 merchants</w:t>
      </w:r>
      <w:r>
        <w:rPr>
          <w:rFonts w:ascii="Calibri" w:hAnsi="Calibri" w:cs="Calibri"/>
          <w:color w:val="1F2937"/>
          <w:sz w:val="19"/>
        </w:rPr>
        <w:t xml:space="preserve"> actually sell overseas. The same gap exists across the </w:t>
      </w:r>
      <w:r>
        <w:rPr>
          <w:rFonts w:ascii="Calibri" w:hAnsi="Calibri" w:cs="Calibri"/>
          <w:b/>
          <w:color w:val="1F2937"/>
          <w:sz w:val="19"/>
        </w:rPr>
        <w:t>39 national market-procurement (1039) pilot cities</w:t>
      </w:r>
      <w:r>
        <w:rPr>
          <w:rFonts w:ascii="Calibri" w:hAnsi="Calibri" w:cs="Calibri"/>
          <w:color w:val="1F2937"/>
          <w:sz w:val="19"/>
        </w:rPr>
        <w:t xml:space="preserve"> and their </w:t>
      </w:r>
      <w:r>
        <w:rPr>
          <w:rFonts w:ascii="Calibri" w:hAnsi="Calibri" w:cs="Calibri"/>
          <w:b/>
          <w:color w:val="1F2937"/>
          <w:sz w:val="19"/>
        </w:rPr>
        <w:t>2.1 million MSMEs</w:t>
      </w:r>
      <w:r>
        <w:rPr>
          <w:rFonts w:ascii="Calibri" w:hAnsi="Calibri" w:cs="Calibri"/>
          <w:color w:val="1F2937"/>
          <w:sz w:val="19"/>
        </w:rPr>
        <w:t>.</w:t>
      </w:r>
    </w:p>
    <w:p>
      <w:pPr>
        <w:spacing w:before="0" w:after="60" w:line="276" w:lineRule="auto"/>
        <w:jc w:val="both"/>
      </w:pPr>
      <w:r>
        <w:rPr>
          <w:rFonts w:ascii="Calibri" w:hAnsi="Calibri" w:cs="Calibri"/>
          <w:color w:val="1F2937"/>
          <w:sz w:val="19"/>
        </w:rPr>
        <w:t>Field research with 300+ Yiwu merchants surfaces five structural blockers: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364"/>
        <w:gridCol w:w="3364"/>
        <w:gridCol w:w="3364"/>
      </w:tblGrid>
      <w:tr>
        <w:tc>
          <w:tcPr>
            <w:tcW w:type="dxa" w:w="3364"/>
            <w:shd w:fill="F3F4F6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#</w:t>
            </w:r>
          </w:p>
        </w:tc>
        <w:tc>
          <w:tcPr>
            <w:tcW w:type="dxa" w:w="3364"/>
            <w:shd w:fill="F3F4F6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Blocker</w:t>
            </w:r>
          </w:p>
        </w:tc>
        <w:tc>
          <w:tcPr>
            <w:tcW w:type="dxa" w:w="3364"/>
            <w:shd w:fill="F3F4F6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Symptom</w:t>
            </w:r>
          </w:p>
        </w:tc>
      </w:tr>
      <w:tr>
        <w:tc>
          <w:tcPr>
            <w:tcW w:type="dxa" w:w="336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color w:val="1F2937"/>
                <w:sz w:val="18"/>
              </w:rPr>
              <w:t>1</w:t>
            </w:r>
          </w:p>
        </w:tc>
        <w:tc>
          <w:tcPr>
            <w:tcW w:type="dxa" w:w="336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b/>
                <w:color w:val="1F2937"/>
                <w:sz w:val="18"/>
              </w:rPr>
              <w:t>Language</w:t>
            </w:r>
          </w:p>
        </w:tc>
        <w:tc>
          <w:tcPr>
            <w:tcW w:type="dxa" w:w="336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color w:val="1F2937"/>
                <w:sz w:val="18"/>
              </w:rPr>
              <w:t>Merchants speak only "hello / how much"; Arabic-, Spanish-, Russian-speaking buyers force calculator-and-gesture selling</w:t>
            </w:r>
          </w:p>
        </w:tc>
      </w:tr>
      <w:tr>
        <w:tc>
          <w:tcPr>
            <w:tcW w:type="dxa" w:w="3364"/>
            <w:shd w:fill="FAFAFA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color w:val="1F2937"/>
                <w:sz w:val="18"/>
              </w:rPr>
              <w:t>2</w:t>
            </w:r>
          </w:p>
        </w:tc>
        <w:tc>
          <w:tcPr>
            <w:tcW w:type="dxa" w:w="3364"/>
            <w:shd w:fill="FAFAFA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b/>
                <w:color w:val="1F2937"/>
                <w:sz w:val="18"/>
              </w:rPr>
              <w:t>Channels</w:t>
            </w:r>
          </w:p>
        </w:tc>
        <w:tc>
          <w:tcPr>
            <w:tcW w:type="dxa" w:w="3364"/>
            <w:shd w:fill="FAFAFA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color w:val="1F2937"/>
                <w:sz w:val="18"/>
              </w:rPr>
              <w:t>Unsure whether to list on Amazon, Temu, TikTok Shop, or find regional distributors</w:t>
            </w:r>
          </w:p>
        </w:tc>
      </w:tr>
      <w:tr>
        <w:tc>
          <w:tcPr>
            <w:tcW w:type="dxa" w:w="336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color w:val="1F2937"/>
                <w:sz w:val="18"/>
              </w:rPr>
              <w:t>3</w:t>
            </w:r>
          </w:p>
        </w:tc>
        <w:tc>
          <w:tcPr>
            <w:tcW w:type="dxa" w:w="336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b/>
                <w:color w:val="1F2937"/>
                <w:sz w:val="18"/>
              </w:rPr>
              <w:t>Compliance</w:t>
            </w:r>
          </w:p>
        </w:tc>
        <w:tc>
          <w:tcPr>
            <w:tcW w:type="dxa" w:w="336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color w:val="1F2937"/>
                <w:sz w:val="18"/>
              </w:rPr>
              <w:t>EU CE / US FDA / GCC Halal requirements unclear; one certification gap kills a quarter's orders</w:t>
            </w:r>
          </w:p>
        </w:tc>
      </w:tr>
      <w:tr>
        <w:tc>
          <w:tcPr>
            <w:tcW w:type="dxa" w:w="3364"/>
            <w:shd w:fill="FAFAFA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color w:val="1F2937"/>
                <w:sz w:val="18"/>
              </w:rPr>
              <w:t>4</w:t>
            </w:r>
          </w:p>
        </w:tc>
        <w:tc>
          <w:tcPr>
            <w:tcW w:type="dxa" w:w="3364"/>
            <w:shd w:fill="FAFAFA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b/>
                <w:color w:val="1F2937"/>
                <w:sz w:val="18"/>
              </w:rPr>
              <w:t>Operations</w:t>
            </w:r>
          </w:p>
        </w:tc>
        <w:tc>
          <w:tcPr>
            <w:tcW w:type="dxa" w:w="3364"/>
            <w:shd w:fill="FAFAFA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color w:val="1F2937"/>
                <w:sz w:val="18"/>
              </w:rPr>
              <w:t>Product pages, keyword strategy, ad buying — merchants make goods, not traffic</w:t>
            </w:r>
          </w:p>
        </w:tc>
      </w:tr>
      <w:tr>
        <w:tc>
          <w:tcPr>
            <w:tcW w:type="dxa" w:w="336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color w:val="1F2937"/>
                <w:sz w:val="18"/>
              </w:rPr>
              <w:t>5</w:t>
            </w:r>
          </w:p>
        </w:tc>
        <w:tc>
          <w:tcPr>
            <w:tcW w:type="dxa" w:w="336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b/>
                <w:color w:val="1F2937"/>
                <w:sz w:val="18"/>
              </w:rPr>
              <w:t>Logistics</w:t>
            </w:r>
          </w:p>
        </w:tc>
        <w:tc>
          <w:tcPr>
            <w:tcW w:type="dxa" w:w="336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color w:val="1F2937"/>
                <w:sz w:val="18"/>
              </w:rPr>
              <w:t>Sea vs air, LCL vs FCL, tariff math, clearance paperwork — one mistake erases margin</w:t>
            </w:r>
          </w:p>
        </w:tc>
      </w:tr>
    </w:tbl>
    <w:p>
      <w:pPr>
        <w:spacing w:before="0" w:after="40" w:line="240" w:lineRule="auto"/>
      </w:pPr>
    </w:p>
    <w:p>
      <w:pPr>
        <w:spacing w:before="0" w:after="60" w:line="276" w:lineRule="auto"/>
        <w:jc w:val="both"/>
      </w:pPr>
      <w:r>
        <w:rPr>
          <w:rFonts w:ascii="Calibri" w:hAnsi="Calibri" w:cs="Calibri"/>
          <w:color w:val="1F2937"/>
          <w:sz w:val="19"/>
        </w:rPr>
        <w:t xml:space="preserve">Traditional fixes (translation agencies, freight forwarders, compliance consultants, operations outsourcers) are </w:t>
      </w:r>
      <w:r>
        <w:rPr>
          <w:rFonts w:ascii="Calibri" w:hAnsi="Calibri" w:cs="Calibri"/>
          <w:b/>
          <w:color w:val="1F2937"/>
          <w:sz w:val="19"/>
        </w:rPr>
        <w:t>expensive, fragmented and slow</w:t>
      </w:r>
      <w:r>
        <w:rPr>
          <w:rFonts w:ascii="Calibri" w:hAnsi="Calibri" w:cs="Calibri"/>
          <w:color w:val="1F2937"/>
          <w:sz w:val="19"/>
        </w:rPr>
        <w:t xml:space="preserve"> — a full foreign-trade back office costs CNY 1M+ per year, out of reach for MSMEs.</w:t>
      </w:r>
    </w:p>
    <w:p>
      <w:pPr>
        <w:spacing w:before="160" w:after="60" w:line="240" w:lineRule="auto"/>
        <w:pBdr>
          <w:bottom w:val="single" w:sz="6" w:color="E5E7EB" w:space="2"/>
        </w:pBdr>
      </w:pPr>
      <w:r>
        <w:rPr>
          <w:rFonts w:ascii="Georgia" w:hAnsi="Georgia"/>
          <w:b/>
          <w:color w:val="D4272C"/>
          <w:sz w:val="24"/>
          <w:rFonts w:ascii="Georgia" w:hAnsi="Georgia"/>
        </w:rPr>
        <w:t>2. Our Solution — 7 AI Agents, One Orchestrated Pipeline</w:t>
      </w:r>
    </w:p>
    <w:p>
      <w:pPr>
        <w:spacing w:before="0" w:after="60" w:line="276" w:lineRule="auto"/>
        <w:jc w:val="both"/>
      </w:pPr>
      <w:r>
        <w:rPr>
          <w:rFonts w:ascii="Calibri" w:hAnsi="Calibri" w:cs="Calibri"/>
          <w:b/>
          <w:color w:val="1F2937"/>
          <w:sz w:val="19"/>
        </w:rPr>
        <w:t>OPC</w:t>
      </w:r>
      <w:r>
        <w:rPr>
          <w:rFonts w:ascii="Calibri" w:hAnsi="Calibri" w:cs="Calibri"/>
          <w:color w:val="1F2937"/>
          <w:sz w:val="19"/>
        </w:rPr>
        <w:t xml:space="preserve"> ("One Person Company") turns a single merchant into a full foreign-trade company. Seven LLM-enhanced agents, orchestrated by </w:t>
      </w:r>
      <w:r>
        <w:rPr>
          <w:rFonts w:ascii="Calibri" w:hAnsi="Calibri" w:cs="Calibri"/>
          <w:b/>
          <w:color w:val="1F2937"/>
          <w:sz w:val="19"/>
        </w:rPr>
        <w:t>LangGraph</w:t>
      </w:r>
      <w:r>
        <w:rPr>
          <w:rFonts w:ascii="Calibri" w:hAnsi="Calibri" w:cs="Calibri"/>
          <w:color w:val="1F2937"/>
          <w:sz w:val="19"/>
        </w:rPr>
        <w:t>, cover the end-to-end going-global workflow: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364"/>
        <w:gridCol w:w="3364"/>
        <w:gridCol w:w="3364"/>
      </w:tblGrid>
      <w:tr>
        <w:tc>
          <w:tcPr>
            <w:tcW w:type="dxa" w:w="3364"/>
            <w:shd w:fill="F3F4F6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Agent</w:t>
            </w:r>
          </w:p>
        </w:tc>
        <w:tc>
          <w:tcPr>
            <w:tcW w:type="dxa" w:w="3364"/>
            <w:shd w:fill="F3F4F6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Role it replaces</w:t>
            </w:r>
          </w:p>
        </w:tc>
        <w:tc>
          <w:tcPr>
            <w:tcW w:type="dxa" w:w="3364"/>
            <w:shd w:fill="F3F4F6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Core capability</w:t>
            </w:r>
          </w:p>
        </w:tc>
      </w:tr>
      <w:tr>
        <w:tc>
          <w:tcPr>
            <w:tcW w:type="dxa" w:w="336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b/>
                <w:color w:val="1F2937"/>
                <w:sz w:val="18"/>
              </w:rPr>
              <w:t>Market Insight</w:t>
            </w:r>
          </w:p>
        </w:tc>
        <w:tc>
          <w:tcPr>
            <w:tcW w:type="dxa" w:w="336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color w:val="1F2937"/>
                <w:sz w:val="18"/>
              </w:rPr>
              <w:t>Market analyst</w:t>
            </w:r>
          </w:p>
        </w:tc>
        <w:tc>
          <w:tcPr>
            <w:tcW w:type="dxa" w:w="336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color w:val="1F2937"/>
                <w:sz w:val="18"/>
              </w:rPr>
              <w:t xml:space="preserve">Global demand signals; ingests the </w:t>
            </w:r>
            <w:r>
              <w:rPr>
                <w:rFonts w:ascii="Calibri" w:hAnsi="Calibri" w:cs="Calibri"/>
                <w:b/>
                <w:color w:val="1F2937"/>
                <w:sz w:val="18"/>
              </w:rPr>
              <w:t>official Yiwu Index</w:t>
            </w:r>
            <w:r>
              <w:rPr>
                <w:rFonts w:ascii="Calibri" w:hAnsi="Calibri" w:cs="Calibri"/>
                <w:color w:val="1F2937"/>
                <w:sz w:val="18"/>
              </w:rPr>
              <w:t xml:space="preserve"> (ywindex.com, published values with source URL + timestamp)</w:t>
            </w:r>
          </w:p>
        </w:tc>
      </w:tr>
      <w:tr>
        <w:tc>
          <w:tcPr>
            <w:tcW w:type="dxa" w:w="3364"/>
            <w:shd w:fill="FAFAFA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b/>
                <w:color w:val="1F2937"/>
                <w:sz w:val="18"/>
              </w:rPr>
              <w:t>Smart Selection</w:t>
            </w:r>
          </w:p>
        </w:tc>
        <w:tc>
          <w:tcPr>
            <w:tcW w:type="dxa" w:w="3364"/>
            <w:shd w:fill="FAFAFA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color w:val="1F2937"/>
                <w:sz w:val="18"/>
              </w:rPr>
              <w:t>Category buyer</w:t>
            </w:r>
          </w:p>
        </w:tc>
        <w:tc>
          <w:tcPr>
            <w:tcW w:type="dxa" w:w="3364"/>
            <w:shd w:fill="FAFAFA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color w:val="1F2937"/>
                <w:sz w:val="18"/>
              </w:rPr>
              <w:t>Scores 2.1M SKUs by competition × margin × Yiwu supply advantage</w:t>
            </w:r>
          </w:p>
        </w:tc>
      </w:tr>
      <w:tr>
        <w:tc>
          <w:tcPr>
            <w:tcW w:type="dxa" w:w="336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b/>
                <w:color w:val="1F2937"/>
                <w:sz w:val="18"/>
              </w:rPr>
              <w:t>Content Generation</w:t>
            </w:r>
          </w:p>
        </w:tc>
        <w:tc>
          <w:tcPr>
            <w:tcW w:type="dxa" w:w="336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color w:val="1F2937"/>
                <w:sz w:val="18"/>
              </w:rPr>
              <w:t>Copywriter + translator</w:t>
            </w:r>
          </w:p>
        </w:tc>
        <w:tc>
          <w:tcPr>
            <w:tcW w:type="dxa" w:w="336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color w:val="1F2937"/>
                <w:sz w:val="18"/>
              </w:rPr>
              <w:t xml:space="preserve">Product pages, ads, short-video scripts in </w:t>
            </w:r>
            <w:r>
              <w:rPr>
                <w:rFonts w:ascii="Calibri" w:hAnsi="Calibri" w:cs="Calibri"/>
                <w:b/>
                <w:color w:val="1F2937"/>
                <w:sz w:val="18"/>
              </w:rPr>
              <w:t>8 languages</w:t>
            </w:r>
          </w:p>
        </w:tc>
      </w:tr>
      <w:tr>
        <w:tc>
          <w:tcPr>
            <w:tcW w:type="dxa" w:w="3364"/>
            <w:shd w:fill="FAFAFA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b/>
                <w:color w:val="1F2937"/>
                <w:sz w:val="18"/>
              </w:rPr>
              <w:t>Compliance Query</w:t>
            </w:r>
          </w:p>
        </w:tc>
        <w:tc>
          <w:tcPr>
            <w:tcW w:type="dxa" w:w="3364"/>
            <w:shd w:fill="FAFAFA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color w:val="1F2937"/>
                <w:sz w:val="18"/>
              </w:rPr>
              <w:t>Compliance officer</w:t>
            </w:r>
          </w:p>
        </w:tc>
        <w:tc>
          <w:tcPr>
            <w:tcW w:type="dxa" w:w="3364"/>
            <w:shd w:fill="FAFAFA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color w:val="1F2937"/>
                <w:sz w:val="18"/>
              </w:rPr>
              <w:t>Maps HS codes to CE/FDA/Halal/RoHS requirements; 3-month cycle compressed to 3 days</w:t>
            </w:r>
          </w:p>
        </w:tc>
      </w:tr>
      <w:tr>
        <w:tc>
          <w:tcPr>
            <w:tcW w:type="dxa" w:w="336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b/>
                <w:color w:val="1F2937"/>
                <w:sz w:val="18"/>
              </w:rPr>
              <w:t>Customer Service</w:t>
            </w:r>
          </w:p>
        </w:tc>
        <w:tc>
          <w:tcPr>
            <w:tcW w:type="dxa" w:w="336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color w:val="1F2937"/>
                <w:sz w:val="18"/>
              </w:rPr>
              <w:t>24/7 support team</w:t>
            </w:r>
          </w:p>
        </w:tc>
        <w:tc>
          <w:tcPr>
            <w:tcW w:type="dxa" w:w="336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color w:val="1F2937"/>
                <w:sz w:val="18"/>
              </w:rPr>
              <w:t>Multi-turn chat with emotion + dispute detection, session memory, FAQ grounding</w:t>
            </w:r>
          </w:p>
        </w:tc>
      </w:tr>
      <w:tr>
        <w:tc>
          <w:tcPr>
            <w:tcW w:type="dxa" w:w="3364"/>
            <w:shd w:fill="FAFAFA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b/>
                <w:color w:val="1F2937"/>
                <w:sz w:val="18"/>
              </w:rPr>
              <w:t>Supply Chain Matching</w:t>
            </w:r>
          </w:p>
        </w:tc>
        <w:tc>
          <w:tcPr>
            <w:tcW w:type="dxa" w:w="3364"/>
            <w:shd w:fill="FAFAFA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color w:val="1F2937"/>
                <w:sz w:val="18"/>
              </w:rPr>
              <w:t>Sourcing agent</w:t>
            </w:r>
          </w:p>
        </w:tc>
        <w:tc>
          <w:tcPr>
            <w:tcW w:type="dxa" w:w="3364"/>
            <w:shd w:fill="FAFAFA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color w:val="1F2937"/>
                <w:sz w:val="18"/>
              </w:rPr>
              <w:t>Buyer intent → top-3 Yiwu suppliers in seconds; 1039 clearance + Yixinou rail linkage</w:t>
            </w:r>
          </w:p>
        </w:tc>
      </w:tr>
      <w:tr>
        <w:tc>
          <w:tcPr>
            <w:tcW w:type="dxa" w:w="336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b/>
                <w:color w:val="1F2937"/>
                <w:sz w:val="18"/>
              </w:rPr>
              <w:t>Policy Replication</w:t>
            </w:r>
          </w:p>
        </w:tc>
        <w:tc>
          <w:tcPr>
            <w:tcW w:type="dxa" w:w="336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color w:val="1F2937"/>
                <w:sz w:val="18"/>
              </w:rPr>
              <w:t>Policy researcher</w:t>
            </w:r>
          </w:p>
        </w:tc>
        <w:tc>
          <w:tcPr>
            <w:tcW w:type="dxa" w:w="336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color w:val="1F2937"/>
                <w:sz w:val="18"/>
              </w:rPr>
              <w:t>Parses 39-city 1039 policy differences; adapts Yiwu's playbook to each city</w:t>
            </w:r>
          </w:p>
        </w:tc>
      </w:tr>
    </w:tbl>
    <w:p>
      <w:pPr>
        <w:spacing w:before="0" w:after="40" w:line="240" w:lineRule="auto"/>
      </w:pPr>
    </w:p>
    <w:p>
      <w:pPr>
        <w:spacing w:before="0" w:after="60" w:line="276" w:lineRule="auto"/>
        <w:jc w:val="both"/>
      </w:pPr>
      <w:r>
        <w:rPr>
          <w:rFonts w:ascii="Calibri" w:hAnsi="Calibri" w:cs="Calibri"/>
          <w:color w:val="1F2937"/>
          <w:sz w:val="19"/>
        </w:rPr>
        <w:t xml:space="preserve">Every agent pairs a </w:t>
      </w:r>
      <w:r>
        <w:rPr>
          <w:rFonts w:ascii="Calibri" w:hAnsi="Calibri" w:cs="Calibri"/>
          <w:b/>
          <w:color w:val="1F2937"/>
          <w:sz w:val="19"/>
        </w:rPr>
        <w:t>deterministic rule/formula backbone</w:t>
      </w:r>
      <w:r>
        <w:rPr>
          <w:rFonts w:ascii="Calibri" w:hAnsi="Calibri" w:cs="Calibri"/>
          <w:color w:val="1F2937"/>
          <w:sz w:val="19"/>
        </w:rPr>
        <w:t xml:space="preserve"> with </w:t>
      </w:r>
      <w:r>
        <w:rPr>
          <w:rFonts w:ascii="Calibri" w:hAnsi="Calibri" w:cs="Calibri"/>
          <w:b/>
          <w:color w:val="1F2937"/>
          <w:sz w:val="19"/>
        </w:rPr>
        <w:t>LLM reasoning augmentation</w:t>
      </w:r>
      <w:r>
        <w:rPr>
          <w:rFonts w:ascii="Calibri" w:hAnsi="Calibri" w:cs="Calibri"/>
          <w:color w:val="1F2937"/>
          <w:sz w:val="19"/>
        </w:rPr>
        <w:t>; when no API key is configured, the system gracefully degrades to backbone-only output (flagged via ai_used=false) — no silent hallucination.</w:t>
      </w:r>
    </w:p>
    <w:p>
      <w:pPr>
        <w:spacing w:before="160" w:after="60" w:line="240" w:lineRule="auto"/>
        <w:pBdr>
          <w:bottom w:val="single" w:sz="6" w:color="E5E7EB" w:space="2"/>
        </w:pBdr>
      </w:pPr>
      <w:r>
        <w:rPr>
          <w:rFonts w:ascii="Georgia" w:hAnsi="Georgia"/>
          <w:b/>
          <w:color w:val="D4272C"/>
          <w:sz w:val="24"/>
          <w:rFonts w:ascii="Georgia" w:hAnsi="Georgia"/>
        </w:rPr>
        <w:t>3. Why Now</w:t>
      </w:r>
    </w:p>
    <w:p>
      <w:pPr>
        <w:pStyle w:val="ListBullet"/>
        <w:spacing w:before="0" w:after="40" w:line="264" w:lineRule="auto"/>
        <w:ind w:left="283"/>
      </w:pPr>
      <w:r>
        <w:rPr>
          <w:rFonts w:ascii="Calibri" w:hAnsi="Calibri" w:cs="Calibri"/>
          <w:b/>
          <w:color w:val="1F2937"/>
          <w:sz w:val="19"/>
        </w:rPr>
        <w:t>National strategy.</w:t>
      </w:r>
      <w:r>
        <w:rPr>
          <w:rFonts w:ascii="Calibri" w:hAnsi="Calibri" w:cs="Calibri"/>
          <w:color w:val="1F2937"/>
          <w:sz w:val="19"/>
        </w:rPr>
        <w:t xml:space="preserve"> The 1039 market-procurement model, pioneered in Yiwu, has been replicated to </w:t>
      </w:r>
      <w:r>
        <w:rPr>
          <w:rFonts w:ascii="Calibri" w:hAnsi="Calibri" w:cs="Calibri"/>
          <w:b/>
          <w:color w:val="1F2937"/>
          <w:sz w:val="19"/>
        </w:rPr>
        <w:t>39 pilot cities</w:t>
      </w:r>
      <w:r>
        <w:rPr>
          <w:rFonts w:ascii="Calibri" w:hAnsi="Calibri" w:cs="Calibri"/>
          <w:color w:val="1F2937"/>
          <w:sz w:val="19"/>
        </w:rPr>
        <w:t>. Central leadership has explicitly called for "summarising and applying the Yiwu development experience" — the policy rails are laid.</w:t>
      </w:r>
    </w:p>
    <w:p>
      <w:pPr>
        <w:pStyle w:val="ListBullet"/>
        <w:spacing w:before="0" w:after="40" w:line="264" w:lineRule="auto"/>
        <w:ind w:left="283"/>
      </w:pPr>
      <w:r>
        <w:rPr>
          <w:rFonts w:ascii="Calibri" w:hAnsi="Calibri" w:cs="Calibri"/>
          <w:b/>
          <w:color w:val="1F2937"/>
          <w:sz w:val="19"/>
        </w:rPr>
        <w:t>Data rails.</w:t>
      </w:r>
      <w:r>
        <w:rPr>
          <w:rFonts w:ascii="Calibri" w:hAnsi="Calibri" w:cs="Calibri"/>
          <w:color w:val="1F2937"/>
          <w:sz w:val="19"/>
        </w:rPr>
        <w:t xml:space="preserve"> The Yiwu Index (official published values) and daily reference FX rates are now machine-readable; our ETL pipeline ingests both with source URL + timestamp provenance.</w:t>
      </w:r>
    </w:p>
    <w:p>
      <w:pPr>
        <w:pStyle w:val="ListBullet"/>
        <w:spacing w:before="0" w:after="40" w:line="264" w:lineRule="auto"/>
        <w:ind w:left="283"/>
      </w:pPr>
      <w:r>
        <w:rPr>
          <w:rFonts w:ascii="Calibri" w:hAnsi="Calibri" w:cs="Calibri"/>
          <w:b/>
          <w:color w:val="1F2937"/>
          <w:sz w:val="19"/>
        </w:rPr>
        <w:t>Model rails.</w:t>
      </w:r>
      <w:r>
        <w:rPr>
          <w:rFonts w:ascii="Calibri" w:hAnsi="Calibri" w:cs="Calibri"/>
          <w:color w:val="1F2937"/>
          <w:sz w:val="19"/>
        </w:rPr>
        <w:t xml:space="preserve"> LLM + RAG + LangGraph multi-agent orchestration matured in 2024–2025, making a "7-role AI team" technically and economically viable for the first time.</w:t>
      </w:r>
    </w:p>
    <w:p>
      <w:pPr>
        <w:spacing w:before="160" w:after="60" w:line="240" w:lineRule="auto"/>
        <w:pBdr>
          <w:bottom w:val="single" w:sz="6" w:color="E5E7EB" w:space="2"/>
        </w:pBdr>
      </w:pPr>
      <w:r>
        <w:rPr>
          <w:rFonts w:ascii="Georgia" w:hAnsi="Georgia"/>
          <w:b/>
          <w:color w:val="D4272C"/>
          <w:sz w:val="24"/>
          <w:rFonts w:ascii="Georgia" w:hAnsi="Georgia"/>
        </w:rPr>
        <w:t>4. Market Opportunity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364"/>
        <w:gridCol w:w="3364"/>
        <w:gridCol w:w="3364"/>
      </w:tblGrid>
      <w:tr>
        <w:tc>
          <w:tcPr>
            <w:tcW w:type="dxa" w:w="3364"/>
            <w:shd w:fill="F3F4F6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Layer</w:t>
            </w:r>
          </w:p>
        </w:tc>
        <w:tc>
          <w:tcPr>
            <w:tcW w:type="dxa" w:w="3364"/>
            <w:shd w:fill="F3F4F6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Size</w:t>
            </w:r>
          </w:p>
        </w:tc>
        <w:tc>
          <w:tcPr>
            <w:tcW w:type="dxa" w:w="3364"/>
            <w:shd w:fill="F3F4F6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Basis</w:t>
            </w:r>
          </w:p>
        </w:tc>
      </w:tr>
      <w:tr>
        <w:tc>
          <w:tcPr>
            <w:tcW w:type="dxa" w:w="336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b/>
                <w:color w:val="1F2937"/>
                <w:sz w:val="18"/>
              </w:rPr>
              <w:t>TAM</w:t>
            </w:r>
          </w:p>
        </w:tc>
        <w:tc>
          <w:tcPr>
            <w:tcW w:type="dxa" w:w="336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color w:val="1F2937"/>
                <w:sz w:val="18"/>
              </w:rPr>
              <w:t>~CNY 1.5B annual SaaS + services</w:t>
            </w:r>
          </w:p>
        </w:tc>
        <w:tc>
          <w:tcPr>
            <w:tcW w:type="dxa" w:w="336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color w:val="1F2937"/>
                <w:sz w:val="18"/>
              </w:rPr>
              <w:t>2.1M MSMEs × 10% paid conversion × CNY 500/mo avg + 39-city government procurement (~CNY 30M) + transaction commissions</w:t>
            </w:r>
          </w:p>
        </w:tc>
      </w:tr>
      <w:tr>
        <w:tc>
          <w:tcPr>
            <w:tcW w:type="dxa" w:w="3364"/>
            <w:shd w:fill="FAFAFA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b/>
                <w:color w:val="1F2937"/>
                <w:sz w:val="18"/>
              </w:rPr>
              <w:t>SAM</w:t>
            </w:r>
          </w:p>
        </w:tc>
        <w:tc>
          <w:tcPr>
            <w:tcW w:type="dxa" w:w="3364"/>
            <w:shd w:fill="FAFAFA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color w:val="1F2937"/>
                <w:sz w:val="18"/>
              </w:rPr>
              <w:t>~CNY 450M</w:t>
            </w:r>
          </w:p>
        </w:tc>
        <w:tc>
          <w:tcPr>
            <w:tcW w:type="dxa" w:w="3364"/>
            <w:shd w:fill="FAFAFA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color w:val="1F2937"/>
                <w:sz w:val="18"/>
              </w:rPr>
              <w:t>Yiwu (75K merchants) + first-wave 10 pilot cities</w:t>
            </w:r>
          </w:p>
        </w:tc>
      </w:tr>
      <w:tr>
        <w:tc>
          <w:tcPr>
            <w:tcW w:type="dxa" w:w="336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b/>
                <w:color w:val="1F2937"/>
                <w:sz w:val="18"/>
              </w:rPr>
              <w:t>SOM (Y1–Y3)</w:t>
            </w:r>
          </w:p>
        </w:tc>
        <w:tc>
          <w:tcPr>
            <w:tcW w:type="dxa" w:w="336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color w:val="1F2937"/>
                <w:sz w:val="18"/>
              </w:rPr>
              <w:t>CNY 7M → 120M → 400M revenue</w:t>
            </w:r>
          </w:p>
        </w:tc>
        <w:tc>
          <w:tcPr>
            <w:tcW w:type="dxa" w:w="336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color w:val="1F2937"/>
                <w:sz w:val="18"/>
              </w:rPr>
              <w:t>Flywheel 1 (Yiwu) → Flywheel 2 (39 cities) → Flywheel 3 (global network)</w:t>
            </w:r>
          </w:p>
        </w:tc>
      </w:tr>
    </w:tbl>
    <w:p>
      <w:pPr>
        <w:spacing w:before="0" w:after="40" w:line="240" w:lineRule="auto"/>
      </w:pPr>
    </w:p>
    <w:p>
      <w:pPr>
        <w:spacing w:before="160" w:after="60" w:line="240" w:lineRule="auto"/>
        <w:pBdr>
          <w:bottom w:val="single" w:sz="6" w:color="E5E7EB" w:space="2"/>
        </w:pBdr>
      </w:pPr>
      <w:r>
        <w:rPr>
          <w:rFonts w:ascii="Georgia" w:hAnsi="Georgia"/>
          <w:b/>
          <w:color w:val="D4272C"/>
          <w:sz w:val="24"/>
          <w:rFonts w:ascii="Georgia" w:hAnsi="Georgia"/>
        </w:rPr>
        <w:t>5. Business Model — Three Revenue Streams</w:t>
      </w:r>
    </w:p>
    <w:p>
      <w:pPr>
        <w:pStyle w:val="ListNumber"/>
        <w:spacing w:before="0" w:after="40" w:line="264" w:lineRule="auto"/>
        <w:ind w:left="283"/>
      </w:pPr>
      <w:r>
        <w:rPr>
          <w:rFonts w:ascii="Calibri" w:hAnsi="Calibri" w:cs="Calibri"/>
          <w:b/>
          <w:color w:val="1F2937"/>
          <w:sz w:val="19"/>
        </w:rPr>
        <w:t>SaaS subscription</w:t>
      </w:r>
      <w:r>
        <w:rPr>
          <w:rFonts w:ascii="Calibri" w:hAnsi="Calibri" w:cs="Calibri"/>
          <w:color w:val="1F2937"/>
          <w:sz w:val="19"/>
        </w:rPr>
        <w:t xml:space="preserve"> (four tiers):</w:t>
      </w:r>
    </w:p>
    <w:p>
      <w:pPr>
        <w:pStyle w:val="ListBullet"/>
        <w:spacing w:before="0" w:after="40" w:line="264" w:lineRule="auto"/>
        <w:ind w:left="283"/>
      </w:pPr>
      <w:r>
        <w:rPr>
          <w:rFonts w:ascii="Calibri" w:hAnsi="Calibri" w:cs="Calibri"/>
          <w:b/>
          <w:color w:val="1F2937"/>
          <w:sz w:val="19"/>
        </w:rPr>
        <w:t>Yiwu Merchant Exclusive — CNY 199/mo</w:t>
      </w:r>
      <w:r>
        <w:rPr>
          <w:rFonts w:ascii="Calibri" w:hAnsi="Calibri" w:cs="Calibri"/>
          <w:color w:val="1F2937"/>
          <w:sz w:val="19"/>
        </w:rPr>
        <w:t xml:space="preserve"> (flagship, for Yiwu International Trade City tenants: full Pro features + Yiwu-specific data + priority supply-chain matching + 1039 compliance guidance)</w:t>
      </w:r>
    </w:p>
    <w:p>
      <w:pPr>
        <w:pStyle w:val="ListBullet"/>
        <w:spacing w:before="0" w:after="40" w:line="264" w:lineRule="auto"/>
        <w:ind w:left="283"/>
      </w:pPr>
      <w:r>
        <w:rPr>
          <w:rFonts w:ascii="Calibri" w:hAnsi="Calibri" w:cs="Calibri"/>
          <w:color w:val="1F2937"/>
          <w:sz w:val="19"/>
        </w:rPr>
        <w:t>Basic CNY 299/mo · Pro CNY 999/mo · Enterprise from CNY 50,000/yr</w:t>
      </w:r>
    </w:p>
    <w:p>
      <w:pPr>
        <w:pStyle w:val="ListNumber"/>
        <w:spacing w:before="0" w:after="40" w:line="264" w:lineRule="auto"/>
        <w:ind w:left="283"/>
      </w:pPr>
      <w:r>
        <w:rPr>
          <w:rFonts w:ascii="Calibri" w:hAnsi="Calibri" w:cs="Calibri"/>
          <w:b/>
          <w:color w:val="1F2937"/>
          <w:sz w:val="19"/>
        </w:rPr>
        <w:t>Government procurement.</w:t>
      </w:r>
      <w:r>
        <w:rPr>
          <w:rFonts w:ascii="Calibri" w:hAnsi="Calibri" w:cs="Calibri"/>
          <w:color w:val="1F2937"/>
          <w:sz w:val="19"/>
        </w:rPr>
        <w:t xml:space="preserve"> 39 pilot-city governments buy the platform for local merchants at </w:t>
      </w:r>
      <w:r>
        <w:rPr>
          <w:rFonts w:ascii="Calibri" w:hAnsi="Calibri" w:cs="Calibri"/>
          <w:b/>
          <w:color w:val="1F2937"/>
          <w:sz w:val="19"/>
        </w:rPr>
        <w:t>CNY 500K–1M per city per year</w:t>
      </w:r>
      <w:r>
        <w:rPr>
          <w:rFonts w:ascii="Calibri" w:hAnsi="Calibri" w:cs="Calibri"/>
          <w:color w:val="1F2937"/>
          <w:sz w:val="19"/>
        </w:rPr>
        <w:t xml:space="preserve"> → addressable CNY 20–40M.</w:t>
      </w:r>
    </w:p>
    <w:p>
      <w:pPr>
        <w:pStyle w:val="ListNumber"/>
        <w:spacing w:before="0" w:after="40" w:line="264" w:lineRule="auto"/>
        <w:ind w:left="283"/>
      </w:pPr>
      <w:r>
        <w:rPr>
          <w:rFonts w:ascii="Calibri" w:hAnsi="Calibri" w:cs="Calibri"/>
          <w:b/>
          <w:color w:val="1F2937"/>
          <w:sz w:val="19"/>
        </w:rPr>
        <w:t>City partners.</w:t>
      </w:r>
      <w:r>
        <w:rPr>
          <w:rFonts w:ascii="Calibri" w:hAnsi="Calibri" w:cs="Calibri"/>
          <w:color w:val="1F2937"/>
          <w:sz w:val="19"/>
        </w:rPr>
        <w:t xml:space="preserve"> 1–2 local partners per city handle merchant onboarding; revenue share on subscriptions and transaction fees.</w:t>
      </w:r>
    </w:p>
    <w:p>
      <w:pPr>
        <w:spacing w:before="160" w:after="60" w:line="240" w:lineRule="auto"/>
        <w:pBdr>
          <w:bottom w:val="single" w:sz="6" w:color="E5E7EB" w:space="2"/>
        </w:pBdr>
      </w:pPr>
      <w:r>
        <w:rPr>
          <w:rFonts w:ascii="Georgia" w:hAnsi="Georgia"/>
          <w:b/>
          <w:color w:val="D4272C"/>
          <w:sz w:val="24"/>
          <w:rFonts w:ascii="Georgia" w:hAnsi="Georgia"/>
        </w:rPr>
        <w:t>6. Traction (as of Sep 2026)</w:t>
      </w:r>
    </w:p>
    <w:p>
      <w:pPr>
        <w:pStyle w:val="ListBullet"/>
        <w:spacing w:before="0" w:after="40" w:line="264" w:lineRule="auto"/>
        <w:ind w:left="283"/>
      </w:pPr>
      <w:r>
        <w:rPr>
          <w:rFonts w:ascii="Calibri" w:hAnsi="Calibri" w:cs="Calibri"/>
          <w:b/>
          <w:color w:val="1F2937"/>
          <w:sz w:val="19"/>
        </w:rPr>
        <w:t>Product live</w:t>
      </w:r>
      <w:r>
        <w:rPr>
          <w:rFonts w:ascii="Calibri" w:hAnsi="Calibri" w:cs="Calibri"/>
          <w:color w:val="1F2937"/>
          <w:sz w:val="19"/>
        </w:rPr>
        <w:t xml:space="preserve"> on ModelScope Studio (public demo URL); full stack containerised (FastAPI + React + SQLite + LangGraph).</w:t>
      </w:r>
    </w:p>
    <w:p>
      <w:pPr>
        <w:pStyle w:val="ListBullet"/>
        <w:spacing w:before="0" w:after="40" w:line="264" w:lineRule="auto"/>
        <w:ind w:left="283"/>
      </w:pPr>
      <w:r>
        <w:rPr>
          <w:rFonts w:ascii="Calibri" w:hAnsi="Calibri" w:cs="Calibri"/>
          <w:b/>
          <w:color w:val="1F2937"/>
          <w:sz w:val="19"/>
        </w:rPr>
        <w:t>2 real data sources integrated</w:t>
      </w:r>
      <w:r>
        <w:rPr>
          <w:rFonts w:ascii="Calibri" w:hAnsi="Calibri" w:cs="Calibri"/>
          <w:color w:val="1F2937"/>
          <w:sz w:val="19"/>
        </w:rPr>
        <w:t xml:space="preserve"> with provenance badges in UI:</w:t>
      </w:r>
    </w:p>
    <w:p>
      <w:pPr>
        <w:pStyle w:val="ListBullet"/>
        <w:spacing w:before="0" w:after="40" w:line="264" w:lineRule="auto"/>
        <w:ind w:left="283"/>
      </w:pPr>
      <w:r>
        <w:rPr>
          <w:rFonts w:ascii="Calibri" w:hAnsi="Calibri" w:cs="Calibri"/>
          <w:color w:val="1F2937"/>
          <w:sz w:val="19"/>
        </w:rPr>
        <w:t>Daily reference FX (open.er-api.com) — verified USD/CNY 6.7284 with official timestamp</w:t>
      </w:r>
    </w:p>
    <w:p>
      <w:pPr>
        <w:pStyle w:val="ListBullet"/>
        <w:spacing w:before="0" w:after="40" w:line="264" w:lineRule="auto"/>
        <w:ind w:left="283"/>
      </w:pPr>
      <w:r>
        <w:rPr>
          <w:rFonts w:ascii="Calibri" w:hAnsi="Calibri" w:cs="Calibri"/>
          <w:color w:val="1F2937"/>
          <w:sz w:val="19"/>
        </w:rPr>
        <w:t>Yiwu Index official published values (ywindex.com/report) — 9 category indices fetched live (e.g. Umbrella 1576.52, Hardware 1557.03, Composite 1513.01)</w:t>
      </w:r>
    </w:p>
    <w:p>
      <w:pPr>
        <w:pStyle w:val="ListBullet"/>
        <w:spacing w:before="0" w:after="40" w:line="264" w:lineRule="auto"/>
        <w:ind w:left="283"/>
      </w:pPr>
      <w:r>
        <w:rPr>
          <w:rFonts w:ascii="Calibri" w:hAnsi="Calibri" w:cs="Calibri"/>
          <w:b/>
          <w:color w:val="1F2937"/>
          <w:sz w:val="19"/>
        </w:rPr>
        <w:t>All 7 agents LLM-enhanced</w:t>
      </w:r>
      <w:r>
        <w:rPr>
          <w:rFonts w:ascii="Calibri" w:hAnsi="Calibri" w:cs="Calibri"/>
          <w:color w:val="1F2937"/>
          <w:sz w:val="19"/>
        </w:rPr>
        <w:t xml:space="preserve"> (DashScope qwen-plus / StepFun in production); SSE-streamed real LangGraph pipeline progress replaces fake setTimeout animations.</w:t>
      </w:r>
    </w:p>
    <w:p>
      <w:pPr>
        <w:pStyle w:val="ListBullet"/>
        <w:spacing w:before="0" w:after="40" w:line="264" w:lineRule="auto"/>
        <w:ind w:left="283"/>
      </w:pPr>
      <w:r>
        <w:rPr>
          <w:rFonts w:ascii="Calibri" w:hAnsi="Calibri" w:cs="Calibri"/>
          <w:b/>
          <w:color w:val="1F2937"/>
          <w:sz w:val="19"/>
        </w:rPr>
        <w:t>Engineering quality gates green:</w:t>
      </w:r>
      <w:r>
        <w:rPr>
          <w:rFonts w:ascii="Calibri" w:hAnsi="Calibri" w:cs="Calibri"/>
          <w:color w:val="1F2937"/>
          <w:sz w:val="19"/>
        </w:rPr>
        <w:t xml:space="preserve"> 150 pytest cases pass; flake8 blocking gate (E9/F63/F7/F82) clean; frontend tsc + eslint clean; CI + deploy pipeline with test gate before ModelScope push.</w:t>
      </w:r>
    </w:p>
    <w:p>
      <w:pPr>
        <w:pStyle w:val="ListBullet"/>
        <w:spacing w:before="0" w:after="40" w:line="264" w:lineRule="auto"/>
        <w:ind w:left="283"/>
      </w:pPr>
      <w:r>
        <w:rPr>
          <w:rFonts w:ascii="Calibri" w:hAnsi="Calibri" w:cs="Calibri"/>
          <w:b/>
          <w:color w:val="1F2937"/>
          <w:sz w:val="19"/>
        </w:rPr>
        <w:t>API contract enforced:</w:t>
      </w:r>
      <w:r>
        <w:rPr>
          <w:rFonts w:ascii="Calibri" w:hAnsi="Calibri" w:cs="Calibri"/>
          <w:color w:val="1F2937"/>
          <w:sz w:val="19"/>
        </w:rPr>
        <w:t xml:space="preserve"> Pydantic response_model on all stable endpoints; enum validation on category/region/budget/language returns HTTP 400 with allowed-value list.</w:t>
      </w:r>
    </w:p>
    <w:p>
      <w:pPr>
        <w:pStyle w:val="ListBullet"/>
        <w:spacing w:before="0" w:after="40" w:line="264" w:lineRule="auto"/>
        <w:ind w:left="283"/>
      </w:pPr>
      <w:r>
        <w:rPr>
          <w:rFonts w:ascii="Calibri" w:hAnsi="Calibri" w:cs="Calibri"/>
          <w:b/>
          <w:color w:val="1F2937"/>
          <w:sz w:val="19"/>
        </w:rPr>
        <w:t>Auth loop closed:</w:t>
      </w:r>
      <w:r>
        <w:rPr>
          <w:rFonts w:ascii="Calibri" w:hAnsi="Calibri" w:cs="Calibri"/>
          <w:color w:val="1F2937"/>
          <w:sz w:val="19"/>
        </w:rPr>
        <w:t xml:space="preserve"> JWT issued on login, injected into every apiFetch, cleared on 401 / logout.</w:t>
      </w:r>
    </w:p>
    <w:p>
      <w:pPr>
        <w:pStyle w:val="ListBullet"/>
        <w:spacing w:before="0" w:after="40" w:line="264" w:lineRule="auto"/>
        <w:ind w:left="283"/>
      </w:pPr>
      <w:r>
        <w:rPr>
          <w:rFonts w:ascii="Calibri" w:hAnsi="Calibri" w:cs="Calibri"/>
          <w:b/>
          <w:color w:val="1F2937"/>
          <w:sz w:val="19"/>
        </w:rPr>
        <w:t>Software copyright</w:t>
      </w:r>
      <w:r>
        <w:rPr>
          <w:rFonts w:ascii="Calibri" w:hAnsi="Calibri" w:cs="Calibri"/>
          <w:color w:val="1F2937"/>
          <w:sz w:val="19"/>
        </w:rPr>
        <w:t xml:space="preserve"> filing prepared; demo videos and pitch deck (CN) delivered.</w:t>
      </w:r>
    </w:p>
    <w:p>
      <w:pPr>
        <w:spacing w:before="160" w:after="60" w:line="240" w:lineRule="auto"/>
        <w:pBdr>
          <w:bottom w:val="single" w:sz="6" w:color="E5E7EB" w:space="2"/>
        </w:pBdr>
      </w:pPr>
      <w:r>
        <w:rPr>
          <w:rFonts w:ascii="Georgia" w:hAnsi="Georgia"/>
          <w:b/>
          <w:color w:val="D4272C"/>
          <w:sz w:val="24"/>
          <w:rFonts w:ascii="Georgia" w:hAnsi="Georgia"/>
        </w:rPr>
        <w:t>7. Competitive Moats</w:t>
      </w:r>
    </w:p>
    <w:p>
      <w:pPr>
        <w:pStyle w:val="ListNumber"/>
        <w:spacing w:before="0" w:after="40" w:line="264" w:lineRule="auto"/>
        <w:ind w:left="283"/>
      </w:pPr>
      <w:r>
        <w:rPr>
          <w:rFonts w:ascii="Calibri" w:hAnsi="Calibri" w:cs="Calibri"/>
          <w:b/>
          <w:color w:val="1F2937"/>
          <w:sz w:val="19"/>
        </w:rPr>
        <w:t>National-level Yiwu experience.</w:t>
      </w:r>
      <w:r>
        <w:rPr>
          <w:rFonts w:ascii="Calibri" w:hAnsi="Calibri" w:cs="Calibri"/>
          <w:color w:val="1F2937"/>
          <w:sz w:val="19"/>
        </w:rPr>
        <w:t xml:space="preserve"> Deep, on-the-ground understanding of the 1039 model, Yiwu Index semantics and merchant workflows — not open-sourceable, not downloadable.</w:t>
      </w:r>
    </w:p>
    <w:p>
      <w:pPr>
        <w:pStyle w:val="ListNumber"/>
        <w:spacing w:before="0" w:after="40" w:line="264" w:lineRule="auto"/>
        <w:ind w:left="283"/>
      </w:pPr>
      <w:r>
        <w:rPr>
          <w:rFonts w:ascii="Calibri" w:hAnsi="Calibri" w:cs="Calibri"/>
          <w:b/>
          <w:color w:val="1F2937"/>
          <w:sz w:val="19"/>
        </w:rPr>
        <w:t>39-city replication network effect.</w:t>
      </w:r>
      <w:r>
        <w:rPr>
          <w:rFonts w:ascii="Calibri" w:hAnsi="Calibri" w:cs="Calibri"/>
          <w:color w:val="1F2937"/>
          <w:sz w:val="19"/>
        </w:rPr>
        <w:t xml:space="preserve"> Every new city enriches the policy corpus, which sharpens every agent. Later entrants face a data flywheel they cannot bootstrap.</w:t>
      </w:r>
    </w:p>
    <w:p>
      <w:pPr>
        <w:pStyle w:val="ListNumber"/>
        <w:spacing w:before="0" w:after="40" w:line="264" w:lineRule="auto"/>
        <w:ind w:left="283"/>
      </w:pPr>
      <w:r>
        <w:rPr>
          <w:rFonts w:ascii="Calibri" w:hAnsi="Calibri" w:cs="Calibri"/>
          <w:b/>
          <w:color w:val="1F2937"/>
          <w:sz w:val="19"/>
        </w:rPr>
        <w:t>Three resources unique to Yiwu.</w:t>
      </w:r>
      <w:r>
        <w:rPr>
          <w:rFonts w:ascii="Calibri" w:hAnsi="Calibri" w:cs="Calibri"/>
          <w:color w:val="1F2937"/>
          <w:sz w:val="19"/>
        </w:rPr>
        <w:t xml:space="preserve"> The Yiwu Index (global small-commodity price barometer), the Yixinou China–Europe rail express (13 days to Europe), and the 1039 clearance regime — none replicable elsewhere.</w:t>
      </w:r>
    </w:p>
    <w:p>
      <w:pPr>
        <w:spacing w:before="160" w:after="60" w:line="240" w:lineRule="auto"/>
        <w:pBdr>
          <w:bottom w:val="single" w:sz="6" w:color="E5E7EB" w:space="2"/>
        </w:pBdr>
      </w:pPr>
      <w:r>
        <w:rPr>
          <w:rFonts w:ascii="Georgia" w:hAnsi="Georgia"/>
          <w:b/>
          <w:color w:val="D4272C"/>
          <w:sz w:val="24"/>
          <w:rFonts w:ascii="Georgia" w:hAnsi="Georgia"/>
        </w:rPr>
        <w:t>8. Roadmap — Three Growth Flywheels</w:t>
      </w:r>
    </w:p>
    <w:p>
      <w:pPr>
        <w:pStyle w:val="ListBullet"/>
        <w:spacing w:before="0" w:after="40" w:line="264" w:lineRule="auto"/>
        <w:ind w:left="283"/>
      </w:pPr>
      <w:r>
        <w:rPr>
          <w:rFonts w:ascii="Calibri" w:hAnsi="Calibri" w:cs="Calibri"/>
          <w:b/>
          <w:color w:val="1F2937"/>
          <w:sz w:val="19"/>
        </w:rPr>
        <w:t>Flywheel 1 (Yiwu validation, M1–M6).</w:t>
      </w:r>
      <w:r>
        <w:rPr>
          <w:rFonts w:ascii="Calibri" w:hAnsi="Calibri" w:cs="Calibri"/>
          <w:color w:val="1F2937"/>
          <w:sz w:val="19"/>
        </w:rPr>
        <w:t xml:space="preserve"> 1,000 paying merchants, CNY 500K MRR; deepen the 7-agent model, build proprietary Yiwu data assets.</w:t>
      </w:r>
    </w:p>
    <w:p>
      <w:pPr>
        <w:pStyle w:val="ListBullet"/>
        <w:spacing w:before="0" w:after="40" w:line="264" w:lineRule="auto"/>
        <w:ind w:left="283"/>
      </w:pPr>
      <w:r>
        <w:rPr>
          <w:rFonts w:ascii="Calibri" w:hAnsi="Calibri" w:cs="Calibri"/>
          <w:b/>
          <w:color w:val="1F2937"/>
          <w:sz w:val="19"/>
        </w:rPr>
        <w:t>Flywheel 2 (39-city replication, M7–M18).</w:t>
      </w:r>
      <w:r>
        <w:rPr>
          <w:rFonts w:ascii="Calibri" w:hAnsi="Calibri" w:cs="Calibri"/>
          <w:color w:val="1F2937"/>
          <w:sz w:val="19"/>
        </w:rPr>
        <w:t xml:space="preserve"> Policy Replication Agent carries the Yiwu playbook to all 39 pilot cities; target 20,000 merchants, CNY 10M MRR.</w:t>
      </w:r>
    </w:p>
    <w:p>
      <w:pPr>
        <w:pStyle w:val="ListBullet"/>
        <w:spacing w:before="0" w:after="40" w:line="264" w:lineRule="auto"/>
        <w:ind w:left="283"/>
      </w:pPr>
      <w:r>
        <w:rPr>
          <w:rFonts w:ascii="Calibri" w:hAnsi="Calibri" w:cs="Calibri"/>
          <w:b/>
          <w:color w:val="1F2937"/>
          <w:sz w:val="19"/>
        </w:rPr>
        <w:t>Flywheel 3 (global network, M19+).</w:t>
      </w:r>
      <w:r>
        <w:rPr>
          <w:rFonts w:ascii="Calibri" w:hAnsi="Calibri" w:cs="Calibri"/>
          <w:color w:val="1F2937"/>
          <w:sz w:val="19"/>
        </w:rPr>
        <w:t xml:space="preserve"> From "China-manufacturing going global" to "global small-commodity intelligent matching" — positioning OPC as the digital infrastructure of Chinese trade.</w:t>
      </w:r>
    </w:p>
    <w:p>
      <w:pPr>
        <w:spacing w:before="160" w:after="60" w:line="240" w:lineRule="auto"/>
        <w:pBdr>
          <w:bottom w:val="single" w:sz="6" w:color="E5E7EB" w:space="2"/>
        </w:pBdr>
      </w:pPr>
      <w:r>
        <w:rPr>
          <w:rFonts w:ascii="Georgia" w:hAnsi="Georgia"/>
          <w:b/>
          <w:color w:val="D4272C"/>
          <w:sz w:val="24"/>
          <w:rFonts w:ascii="Georgia" w:hAnsi="Georgia"/>
        </w:rPr>
        <w:t>9. Financial Snapshot</w:t>
      </w:r>
    </w:p>
    <w:p>
      <w:pPr>
        <w:spacing w:before="0" w:after="60" w:line="276" w:lineRule="auto"/>
        <w:jc w:val="both"/>
      </w:pPr>
      <w:r>
        <w:rPr>
          <w:rFonts w:ascii="Calibri" w:hAnsi="Calibri" w:cs="Calibri"/>
          <w:color w:val="1F2937"/>
          <w:sz w:val="19"/>
        </w:rPr>
        <w:t>Authoritative source: internal financial model (财务预测与商业计划.md).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5046"/>
        <w:gridCol w:w="5046"/>
      </w:tblGrid>
      <w:tr>
        <w:tc>
          <w:tcPr>
            <w:tcW w:type="dxa" w:w="5046"/>
            <w:shd w:fill="F3F4F6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Metric</w:t>
            </w:r>
          </w:p>
        </w:tc>
        <w:tc>
          <w:tcPr>
            <w:tcW w:type="dxa" w:w="5046"/>
            <w:shd w:fill="F3F4F6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Y1 target</w:t>
            </w:r>
          </w:p>
        </w:tc>
      </w:tr>
      <w:tr>
        <w:tc>
          <w:tcPr>
            <w:tcW w:type="dxa" w:w="5046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color w:val="1F2937"/>
                <w:sz w:val="18"/>
              </w:rPr>
              <w:t>Cumulative revenue</w:t>
            </w:r>
          </w:p>
        </w:tc>
        <w:tc>
          <w:tcPr>
            <w:tcW w:type="dxa" w:w="5046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b/>
                <w:color w:val="1F2937"/>
                <w:sz w:val="18"/>
              </w:rPr>
              <w:t>CNY 6.97M</w:t>
            </w:r>
          </w:p>
        </w:tc>
      </w:tr>
      <w:tr>
        <w:tc>
          <w:tcPr>
            <w:tcW w:type="dxa" w:w="5046"/>
            <w:shd w:fill="FAFAFA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color w:val="1F2937"/>
                <w:sz w:val="18"/>
              </w:rPr>
              <w:t>Cash-flow breakeven</w:t>
            </w:r>
          </w:p>
        </w:tc>
        <w:tc>
          <w:tcPr>
            <w:tcW w:type="dxa" w:w="5046"/>
            <w:shd w:fill="FAFAFA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b/>
                <w:color w:val="1F2937"/>
                <w:sz w:val="18"/>
              </w:rPr>
              <w:t>First month</w:t>
            </w:r>
            <w:r>
              <w:rPr>
                <w:rFonts w:ascii="Calibri" w:hAnsi="Calibri" w:cs="Calibri"/>
                <w:color w:val="1F2937"/>
                <w:sz w:val="18"/>
              </w:rPr>
              <w:t xml:space="preserve"> (OPC model → zero headcount cost for first 6 months)</w:t>
            </w:r>
          </w:p>
        </w:tc>
      </w:tr>
      <w:tr>
        <w:tc>
          <w:tcPr>
            <w:tcW w:type="dxa" w:w="5046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color w:val="1F2937"/>
                <w:sz w:val="18"/>
              </w:rPr>
              <w:t>Full-year net margin</w:t>
            </w:r>
          </w:p>
        </w:tc>
        <w:tc>
          <w:tcPr>
            <w:tcW w:type="dxa" w:w="5046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b/>
                <w:color w:val="1F2937"/>
                <w:sz w:val="18"/>
              </w:rPr>
              <w:t>68–72%</w:t>
            </w:r>
            <w:r>
              <w:rPr>
                <w:rFonts w:ascii="Calibri" w:hAnsi="Calibri" w:cs="Calibri"/>
                <w:color w:val="1F2937"/>
                <w:sz w:val="18"/>
              </w:rPr>
              <w:t xml:space="preserve"> (SaaS gross margin + AI-native cost structure)</w:t>
            </w:r>
          </w:p>
        </w:tc>
      </w:tr>
      <w:tr>
        <w:tc>
          <w:tcPr>
            <w:tcW w:type="dxa" w:w="5046"/>
            <w:shd w:fill="FAFAFA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color w:val="1F2937"/>
                <w:sz w:val="18"/>
              </w:rPr>
              <w:t>LTV / CAC</w:t>
            </w:r>
          </w:p>
        </w:tc>
        <w:tc>
          <w:tcPr>
            <w:tcW w:type="dxa" w:w="5046"/>
            <w:shd w:fill="FAFAFA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color w:val="1F2937"/>
                <w:sz w:val="18"/>
              </w:rPr>
              <w:t>Well above industry benchmark (see model)</w:t>
            </w:r>
          </w:p>
        </w:tc>
      </w:tr>
    </w:tbl>
    <w:p>
      <w:pPr>
        <w:spacing w:before="0" w:after="40" w:line="240" w:lineRule="auto"/>
      </w:pPr>
    </w:p>
    <w:p>
      <w:pPr>
        <w:spacing w:before="160" w:after="60" w:line="240" w:lineRule="auto"/>
        <w:pBdr>
          <w:bottom w:val="single" w:sz="6" w:color="E5E7EB" w:space="2"/>
        </w:pBdr>
      </w:pPr>
      <w:r>
        <w:rPr>
          <w:rFonts w:ascii="Georgia" w:hAnsi="Georgia"/>
          <w:b/>
          <w:color w:val="D4272C"/>
          <w:sz w:val="24"/>
          <w:rFonts w:ascii="Georgia" w:hAnsi="Georgia"/>
        </w:rPr>
        <w:t>10. Funding Ask &amp; Use of Proceeds</w:t>
      </w:r>
    </w:p>
    <w:p>
      <w:pPr>
        <w:spacing w:before="0" w:after="60" w:line="276" w:lineRule="auto"/>
        <w:jc w:val="both"/>
      </w:pPr>
      <w:r>
        <w:rPr>
          <w:rFonts w:ascii="Calibri" w:hAnsi="Calibri" w:cs="Calibri"/>
          <w:color w:val="1F2937"/>
          <w:sz w:val="19"/>
        </w:rPr>
        <w:t xml:space="preserve">Seeking </w:t>
      </w:r>
      <w:r>
        <w:rPr>
          <w:rFonts w:ascii="Calibri" w:hAnsi="Calibri" w:cs="Calibri"/>
          <w:b/>
          <w:color w:val="1F2937"/>
          <w:sz w:val="19"/>
        </w:rPr>
        <w:t>CNY 1,000,000 seed</w:t>
      </w:r>
      <w:r>
        <w:rPr>
          <w:rFonts w:ascii="Calibri" w:hAnsi="Calibri" w:cs="Calibri"/>
          <w:color w:val="1F2937"/>
          <w:sz w:val="19"/>
        </w:rP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364"/>
        <w:gridCol w:w="3364"/>
        <w:gridCol w:w="3364"/>
      </w:tblGrid>
      <w:tr>
        <w:tc>
          <w:tcPr>
            <w:tcW w:type="dxa" w:w="3364"/>
            <w:shd w:fill="F3F4F6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Use</w:t>
            </w:r>
          </w:p>
        </w:tc>
        <w:tc>
          <w:tcPr>
            <w:tcW w:type="dxa" w:w="3364"/>
            <w:shd w:fill="F3F4F6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Share</w:t>
            </w:r>
          </w:p>
        </w:tc>
        <w:tc>
          <w:tcPr>
            <w:tcW w:type="dxa" w:w="3364"/>
            <w:shd w:fill="F3F4F6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Amount</w:t>
            </w:r>
          </w:p>
        </w:tc>
      </w:tr>
      <w:tr>
        <w:tc>
          <w:tcPr>
            <w:tcW w:type="dxa" w:w="336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color w:val="1F2937"/>
                <w:sz w:val="18"/>
              </w:rPr>
              <w:t>R&amp;D (7-agent depth, 39-city policy corpus)</w:t>
            </w:r>
          </w:p>
        </w:tc>
        <w:tc>
          <w:tcPr>
            <w:tcW w:type="dxa" w:w="336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color w:val="1F2937"/>
                <w:sz w:val="18"/>
              </w:rPr>
              <w:t>40%</w:t>
            </w:r>
          </w:p>
        </w:tc>
        <w:tc>
          <w:tcPr>
            <w:tcW w:type="dxa" w:w="336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color w:val="1F2937"/>
                <w:sz w:val="18"/>
              </w:rPr>
              <w:t>CNY 400K</w:t>
            </w:r>
          </w:p>
        </w:tc>
      </w:tr>
      <w:tr>
        <w:tc>
          <w:tcPr>
            <w:tcW w:type="dxa" w:w="3364"/>
            <w:shd w:fill="FAFAFA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color w:val="1F2937"/>
                <w:sz w:val="18"/>
              </w:rPr>
              <w:t>Go-to-market (Yiwu ground push, first 1,000 merchants, pilot-city rollout)</w:t>
            </w:r>
          </w:p>
        </w:tc>
        <w:tc>
          <w:tcPr>
            <w:tcW w:type="dxa" w:w="3364"/>
            <w:shd w:fill="FAFAFA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color w:val="1F2937"/>
                <w:sz w:val="18"/>
              </w:rPr>
              <w:t>30%</w:t>
            </w:r>
          </w:p>
        </w:tc>
        <w:tc>
          <w:tcPr>
            <w:tcW w:type="dxa" w:w="3364"/>
            <w:shd w:fill="FAFAFA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color w:val="1F2937"/>
                <w:sz w:val="18"/>
              </w:rPr>
              <w:t>CNY 300K</w:t>
            </w:r>
          </w:p>
        </w:tc>
      </w:tr>
      <w:tr>
        <w:tc>
          <w:tcPr>
            <w:tcW w:type="dxa" w:w="336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color w:val="1F2937"/>
                <w:sz w:val="18"/>
              </w:rPr>
              <w:t>Team (core engineers, operations, policy researchers)</w:t>
            </w:r>
          </w:p>
        </w:tc>
        <w:tc>
          <w:tcPr>
            <w:tcW w:type="dxa" w:w="336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color w:val="1F2937"/>
                <w:sz w:val="18"/>
              </w:rPr>
              <w:t>20%</w:t>
            </w:r>
          </w:p>
        </w:tc>
        <w:tc>
          <w:tcPr>
            <w:tcW w:type="dxa" w:w="3364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color w:val="1F2937"/>
                <w:sz w:val="18"/>
              </w:rPr>
              <w:t>CNY 200K</w:t>
            </w:r>
          </w:p>
        </w:tc>
      </w:tr>
      <w:tr>
        <w:tc>
          <w:tcPr>
            <w:tcW w:type="dxa" w:w="3364"/>
            <w:shd w:fill="FAFAFA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color w:val="1F2937"/>
                <w:sz w:val="18"/>
              </w:rPr>
              <w:t>Operating reserve</w:t>
            </w:r>
          </w:p>
        </w:tc>
        <w:tc>
          <w:tcPr>
            <w:tcW w:type="dxa" w:w="3364"/>
            <w:shd w:fill="FAFAFA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color w:val="1F2937"/>
                <w:sz w:val="18"/>
              </w:rPr>
              <w:t>10%</w:t>
            </w:r>
          </w:p>
        </w:tc>
        <w:tc>
          <w:tcPr>
            <w:tcW w:type="dxa" w:w="3364"/>
            <w:shd w:fill="FAFAFA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cs="Calibri"/>
                <w:color w:val="1F2937"/>
                <w:sz w:val="18"/>
              </w:rPr>
              <w:t>CNY 100K</w:t>
            </w:r>
          </w:p>
        </w:tc>
      </w:tr>
    </w:tbl>
    <w:p>
      <w:pPr>
        <w:spacing w:before="0" w:after="40" w:line="240" w:lineRule="auto"/>
      </w:pPr>
    </w:p>
    <w:p>
      <w:pPr>
        <w:spacing w:before="160" w:after="60" w:line="240" w:lineRule="auto"/>
        <w:pBdr>
          <w:bottom w:val="single" w:sz="6" w:color="E5E7EB" w:space="2"/>
        </w:pBdr>
      </w:pPr>
      <w:r>
        <w:rPr>
          <w:rFonts w:ascii="Georgia" w:hAnsi="Georgia"/>
          <w:b/>
          <w:color w:val="D4272C"/>
          <w:sz w:val="24"/>
          <w:rFonts w:ascii="Georgia" w:hAnsi="Georgia"/>
        </w:rPr>
        <w:t>11. Team</w:t>
      </w:r>
    </w:p>
    <w:p>
      <w:pPr>
        <w:spacing w:before="0" w:after="60" w:line="276" w:lineRule="auto"/>
        <w:jc w:val="both"/>
      </w:pPr>
      <w:r>
        <w:rPr>
          <w:rFonts w:ascii="Calibri" w:hAnsi="Calibri" w:cs="Calibri"/>
          <w:b/>
          <w:color w:val="1F2937"/>
          <w:sz w:val="19"/>
        </w:rPr>
        <w:t>Yigen Feng — Founder.</w:t>
      </w:r>
      <w:r>
        <w:rPr>
          <w:rFonts w:ascii="Calibri" w:hAnsi="Calibri" w:cs="Calibri"/>
          <w:color w:val="1F2937"/>
          <w:sz w:val="19"/>
        </w:rPr>
        <w:t xml:space="preserve"> Technology + cross-border dual background; deep expertise in LLM applications and AI-agent engineering; hands-on familiarity with the Yiwu merchant ecosystem. Currently recruiting co-founders / partners in cross-border operations, business development and policy research.</w:t>
      </w:r>
    </w:p>
    <w:p>
      <w:pPr>
        <w:spacing w:before="0" w:after="60" w:line="276" w:lineRule="auto"/>
        <w:jc w:val="both"/>
      </w:pPr>
      <w:r>
        <w:rPr>
          <w:rFonts w:ascii="Calibri" w:hAnsi="Calibri" w:cs="Calibri"/>
          <w:b/>
          <w:color w:val="1F2937"/>
          <w:sz w:val="19"/>
        </w:rPr>
        <w:t>OPC operating principle:</w:t>
      </w:r>
      <w:r>
        <w:rPr>
          <w:rFonts w:ascii="Calibri" w:hAnsi="Calibri" w:cs="Calibri"/>
          <w:color w:val="1F2937"/>
          <w:sz w:val="19"/>
        </w:rPr>
        <w:t xml:space="preserve"> "1 founder + 7 AI digital employees = one complete foreign-trade company." The 7 agents replace 7 traditional roles; part-time engineering collaborators support the founder on infrastructure.</w:t>
      </w:r>
    </w:p>
    <w:p>
      <w:pPr>
        <w:spacing w:before="40" w:after="80" w:line="240" w:lineRule="auto"/>
        <w:pBdr>
          <w:bottom w:val="single" w:sz="6" w:color="D4272C" w:space="1"/>
        </w:pBdr>
      </w:pPr>
    </w:p>
    <w:p>
      <w:pPr>
        <w:spacing w:before="0" w:after="60" w:line="276" w:lineRule="auto"/>
        <w:jc w:val="both"/>
      </w:pPr>
      <w:r>
        <w:rPr>
          <w:rFonts w:ascii="Calibri" w:hAnsi="Calibri" w:cs="Calibri"/>
          <w:i/>
          <w:color w:val="1F2937"/>
          <w:sz w:val="19"/>
        </w:rPr>
        <w:t>Prepared for the Yiwu Going-Global OPC track · Single source of truth for all numbers: docs/核心数字基准表.md · English one-pager generated from the authoritative Chinese business plan.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