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D4272C"/>
          <w:sz w:val="64"/>
        </w:rPr>
        <w:t>义乌小商品出海智能体-OPC</w:t>
      </w:r>
    </w:p>
    <w:p>
      <w:pPr>
        <w:spacing w:before="240"/>
        <w:jc w:val="center"/>
      </w:pPr>
      <w:r>
        <w:rPr>
          <w:rFonts w:ascii="黑体" w:hAnsi="黑体" w:eastAsia="黑体"/>
          <w:b/>
          <w:color w:val="333333"/>
          <w:sz w:val="44"/>
        </w:rPr>
        <w:t>里程碑规划</w:t>
      </w:r>
    </w:p>
    <w:p>
      <w:pPr>
        <w:spacing w:before="400" w:after="400"/>
        <w:jc w:val="center"/>
      </w:pPr>
      <w:r>
        <w:rPr>
          <w:color w:val="D4272C"/>
          <w:sz w:val="24"/>
        </w:rPr>
        <w:t>━━━━━━━━━━━━━━━━━━━━━━━━━━━━━━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参赛赛道：2026"直通乌镇"全球互联网大赛 OPC特色赛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创始人：冯亦根（浙江省首批产业教授、高级工程师、工信部认证首席数据官）</w:t>
      </w:r>
    </w:p>
    <w:p>
      <w:pPr>
        <w:spacing w:after="120"/>
        <w:jc w:val="center"/>
      </w:pPr>
      <w:r>
        <w:rPr>
          <w:rFonts w:ascii="微软雅黑" w:hAnsi="微软雅黑" w:eastAsia="微软雅黑"/>
          <w:color w:val="555555"/>
          <w:sz w:val="24"/>
        </w:rPr>
        <w:t>日期：2026年6月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1. 3个月里程碑（MVP阶段）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Month 1：完成6个Agent开发+义乌数据接入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选品推荐Agent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选品推荐功能上线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基于义乌市场数据输出Top20选品建议，准确率≥70%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产品开发组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合规检测Agent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合规检测功能上线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覆盖欧盟/美国/中东3个市场基础合规规则≥200条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产品开发组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翻译本地化Agent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多语言翻译功能上线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支持中→英/阿/西/俄4语种翻译，商贸术语准确率≥85%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产品开发组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物流优化Agent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物流方案推荐上线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整合义新欧班列+海运数据，输出3种以上物流方案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产品开发组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营销内容Agent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营销文案生成上线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支持产品描述、社媒文案、邮件模板3类内容生成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产品开发组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客户服务Agent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智能客服功能上线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覆盖常见出海问题FAQ≥500条，自动回复率≥60%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产品开发组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义乌数据接入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义乌商品数据库对接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接入义乌国际商贸城≥5万条商品数据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数据工程组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基础平台搭建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用户系统+计费系统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注册/登录/订阅/支付全流程可用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平台工程组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关键里程碑</w:t>
      </w:r>
      <w:r>
        <w:rPr>
          <w:rFonts w:ascii="微软雅黑" w:hAnsi="微软雅黑" w:eastAsia="微软雅黑"/>
          <w:sz w:val="21"/>
        </w:rPr>
        <w:t>：6个Agent全部上线内测版本，义乌本地数据源接入完成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Month 2：义乌商户内测（50家）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内测商户招募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50家义乌商户入驻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覆盖饰品、玩具、日用品、五金、服装5大品类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义乌运营组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内测反馈收集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用户反馈报告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收集有效反馈≥200条，NPS≥30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产品运营组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Bug修复与优化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稳定性提升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系统可用性≥99%，关键Bug清零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产品开发组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义乌专享版定价验证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定价测试报告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199元/月接受度≥60%，付费意愿≥30%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商户成功案例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3个种子案例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至少3家商户通过Agent实现出海订单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义乌运营组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关键里程碑</w:t>
      </w:r>
      <w:r>
        <w:rPr>
          <w:rFonts w:ascii="微软雅黑" w:hAnsi="微软雅黑" w:eastAsia="微软雅黑"/>
          <w:sz w:val="21"/>
        </w:rPr>
        <w:t>：50家义乌商户完成内测，NPS≥30，验证产品-市场匹配度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Month 3：正式发布MVP+义乌本地推广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验收标准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MVP正式发布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产品公开发布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6个Agent全部正式可用，付费订阅流程打通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义乌商贸城推广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线下推广活动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覆盖3个商贸城区，触达商户≥500家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义乌运营组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商户沙龙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2场线下沙龙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每场≥30人参与，现场转化率≥10%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市场组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种子用户转化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付费用户≥50人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其中义乌专享版≥20人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销售组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媒体传播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3篇行业报道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义乌本地媒体+跨境电商媒体覆盖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市场组</w:t>
            </w:r>
          </w:p>
        </w:tc>
      </w:tr>
    </w:tbl>
    <w:p/>
    <w:p>
      <w:pPr>
        <w:spacing w:after="120" w:line="400" w:lineRule="exact"/>
      </w:pPr>
      <w:r>
        <w:rPr>
          <w:rFonts w:ascii="微软雅黑" w:hAnsi="微软雅黑" w:eastAsia="微软雅黑"/>
          <w:sz w:val="21"/>
        </w:rPr>
      </w:r>
      <w:r>
        <w:rPr>
          <w:rFonts w:ascii="微软雅黑" w:hAnsi="微软雅黑" w:eastAsia="微软雅黑"/>
          <w:b/>
          <w:sz w:val="21"/>
        </w:rPr>
        <w:t>关键里程碑</w:t>
      </w:r>
      <w:r>
        <w:rPr>
          <w:rFonts w:ascii="微软雅黑" w:hAnsi="微软雅黑" w:eastAsia="微软雅黑"/>
          <w:sz w:val="21"/>
        </w:rPr>
        <w:t>：MVP正式上线，首批50名付费用户，义乌本地品牌认知建立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2. 6个月里程碑（增长阶段）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付费用户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其中义乌商户专享版≥80人（占比40%）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MRR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10万元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月度经常性收入突破10万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义乌商户占比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义乌本地用户为核心基本盘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Agent使用频次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≥15次/用户/月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用户活跃度达标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续费率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≥85%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首批用户续费率验证产品粘性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NPS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≥40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用户净推荐值达到良好水平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增长阶段关键举措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举措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义新欧沿线3国合规库上线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覆盖西班牙、德国、荷兰合规规则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高级版功能发布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M4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数据看板、高级分析、优先客服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义乌商户转介绍计划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老带新奖励机制，目标转化率15%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跨境电商平台对接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M5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对接Amazon、AliExpress数据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首批企业客户签约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M6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≥5家企业定制客户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线上内容营销启动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M4-M6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公众号/视频号/小红书持续输出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3. 12个月里程碑（规模化阶段）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达成标准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付费用户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1,000人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活跃付费用户突破千人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MRR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22.5万元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月度经常性收入（保守目标）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义新欧沿线合规覆盖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5国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覆盖西班牙、德国、荷兰、法国、意大利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企业客户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≥15家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企业定制版客户数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团队规模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专职团队组建完成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产品矩阵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8个Agent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新增支付结算Agent、供应链金融Agent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品牌影响力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行业Top3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义乌出海工具类品牌认知度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规模化阶段关键举措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举措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义新欧5国合规覆盖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M7-M9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新增法国、意大利合规规则库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支付结算Agent上线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M8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对接跨境支付渠道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供应链金融Agent上线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为商户提供融资推荐服务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全国跨境电商卖家拓展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M7-M12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从义乌扩展至深圳、广州等跨境电商聚集地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API开放平台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M9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支持第三方系统集成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行业展会参展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M10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义乌进口商品博览会/跨境电商展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4. 关键指标KPI表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4.1 产品指标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M3目标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M6目标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M12目标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Agent数量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已上线可用的Agent数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合规规则覆盖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3国/200条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3国/500条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5国/1,200条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覆盖国家数/规则条数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系统可用性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99%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99.5%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99.9%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月度SLA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AI响应时间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≤3秒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≤2秒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≤1.5秒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平均响应延迟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翻译准确率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90%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93%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商贸术语翻译准确率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4.2 用户指标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M3目标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M6目标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M12目标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注册用户数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800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3,000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累计注册用户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付费用户数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1,000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活跃付费用户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付费转化率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18%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付费/注册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义乌商户占比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义乌专享版/总付费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月活跃率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60%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70%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月活/付费用户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Agent使用频次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10次/月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15次/月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20次/月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人均月调用次数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4.3 财务指标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M3目标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M6目标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M12目标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MRR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7.1万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27.8万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144.7万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月度经常性收入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ARR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85.7万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334.1万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1,736.9万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MRR × 12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ARPU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476元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465元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482元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MRR/付费用户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CAC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300元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250元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200元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营销费用/新付费用户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LTV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9,528元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10,368元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10,920元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ARPU × 平均生命周期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LTV/CAC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31.8x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41.5x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54.6x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LTV ÷ CAC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续费率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88%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续费用户/到期用户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净利率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64.2%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72.1%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净利润/收入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4.4 市场指标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M3目标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M6目标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M12目标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计算方式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义乌商贸城覆盖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3个区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5个区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全覆盖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商贸城区覆盖数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商户触达数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2,000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8,000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累计触达商户数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品牌认知度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义乌商户中品牌认知率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合作渠道数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合作推广渠道数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行业媒体报道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3篇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8篇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15篇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累计媒体报道数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黑体" w:hAnsi="黑体" w:eastAsia="黑体"/>
          <w:color w:val="333333"/>
          <w:sz w:val="30"/>
        </w:rPr>
        <w:t>5. 决策节点</w:t>
      </w:r>
    </w:p>
    <w:p>
      <w:pPr>
        <w:pStyle w:val="Heading3"/>
      </w:pPr>
      <w:r>
        <w:rPr>
          <w:rFonts w:ascii="黑体" w:hAnsi="黑体" w:eastAsia="黑体"/>
          <w:color w:val="444444"/>
          <w:sz w:val="26"/>
        </w:rPr>
        <w:t>5.1 关键决策节点一览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决策内容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813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决策选项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DN-1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M2末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是否正式发布MVP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内测NPS≥30 且 付费意愿≥25%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发布 / ❌ 延期优化 / ❌ 方向调整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DN-2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M3末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义乌专享版定价是否调整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付费转化率&lt;10% 或 接受度&lt;50%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维持199元 / 降至149元 / 取消专享版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DN-3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M4末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是否启动全国市场拓展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义乌付费用户≥80 且 MRR≥5万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启动拓展 / ⏸ 暂缓聚焦义乌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DN-4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M6末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是否组建专职团队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MRR≥10万 且 续费率≥80%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组建5人团队 / ⏸ 维持OPC模式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DN-5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M6末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是否启动A轮融资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用户增长超预期 或 需加速扩张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启动融资 / ⏸ 自有资金运营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DN-6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M9末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是否扩展至非义乌市场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义乌外用户占比≥30%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全国化 / ⏸ 深耕义乌</w:t>
            </w:r>
          </w:p>
        </w:tc>
      </w:tr>
      <w:tr>
        <w:tc>
          <w:tcPr>
            <w:tcW w:type="dxa" w:w="181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DN-7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M9末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企业定制版是否独立运营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企业客户≥10家 且 收入占比≥15%</w:t>
            </w:r>
          </w:p>
        </w:tc>
        <w:tc>
          <w:tcPr>
            <w:tcW w:type="dxa" w:w="181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✅ 独立产品线 / ⏸ 保持附属</w:t>
            </w:r>
          </w:p>
        </w:tc>
      </w:tr>
      <w:tr>
        <w:tc>
          <w:tcPr>
            <w:tcW w:type="dxa" w:w="1813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DN-8</w:t>
            </w:r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M12末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第二年战略规划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全年目标达成率</w:t>
            </w:r>
          </w:p>
        </w:tc>
        <w:tc>
          <w:tcPr>
            <w:tcW w:type="dxa" w:w="1813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规模化扩张 / 深耕垂直 / 探索新市场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5.2 止损条件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时间窗口</w:t>
            </w:r>
          </w:p>
        </w:tc>
        <w:tc>
          <w:tcPr>
            <w:tcW w:type="dxa" w:w="2266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M3付费用户&lt;30人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&lt;60%目标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M3末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调整产品定位，延长内测期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 NPS&lt;20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用户满意度不足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M3末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产品重大改版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 MRR&lt;5万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&lt;50%目标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M6末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重新评估商业模式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M6续费率&lt;60%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产品粘性不足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M6末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核心功能重构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月度流失率&gt;15%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持续3个月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任意连续3月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暂停扩张，聚焦留存</w:t>
            </w:r>
          </w:p>
        </w:tc>
      </w:tr>
      <w:tr>
        <w:tc>
          <w:tcPr>
            <w:tcW w:type="dxa" w:w="2266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累计亏损&gt;150万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资金消耗过快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任意时点</w:t>
            </w:r>
          </w:p>
        </w:tc>
        <w:tc>
          <w:tcPr>
            <w:tcW w:type="dxa" w:w="2266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缩减规模或寻求融资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color w:val="444444"/>
          <w:sz w:val="26"/>
        </w:rPr>
        <w:t>5.3 加速条件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022"/>
        <w:gridCol w:w="3022"/>
        <w:gridCol w:w="3022"/>
      </w:tblGrid>
      <w:tr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阈值</w:t>
            </w:r>
          </w:p>
        </w:tc>
        <w:tc>
          <w:tcPr>
            <w:tcW w:type="dxa" w:w="3022"/>
            <w:shd w:fill="D4272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触发动作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M3付费用户&gt;80人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&gt;160%目标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提前启动全国市场拓展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M6 MRR&gt;20万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&gt;200%目标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提前组建团队+启动A轮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企业客户月增&gt;5家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需求旺盛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加速企业版功能开发</w:t>
            </w:r>
          </w:p>
        </w:tc>
      </w:tr>
      <w:tr>
        <w:tc>
          <w:tcPr>
            <w:tcW w:type="dxa" w:w="3022"/>
            <w:shd w:fill="FFF3F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sz w:val="19"/>
              </w:rPr>
              <w:t>义乌商户转介绍率&gt;25%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口碑效应强</w:t>
            </w:r>
          </w:p>
        </w:tc>
        <w:tc>
          <w:tcPr>
            <w:tcW w:type="dxa" w:w="3022"/>
            <w:shd w:fill="FFF3F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sz w:val="19"/>
              </w:rPr>
              <w:t>加大转介绍激励</w:t>
            </w:r>
          </w:p>
        </w:tc>
      </w:tr>
    </w:tbl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</w:t>
      </w:r>
    </w:p>
    <w:p>
      <w:pPr>
        <w:spacing w:after="80" w:line="360" w:lineRule="exact"/>
        <w:ind w:left="567"/>
        <w:pBdr>
          <w:left w:val="single" w:sz="12" w:space="4" w:color="D4272C"/>
        </w:pBdr>
      </w:pPr>
      <w:r>
        <w:rPr>
          <w:rFonts w:ascii="微软雅黑" w:hAnsi="微软雅黑" w:eastAsia="微软雅黑"/>
          <w:color w:val="555555"/>
          <w:sz w:val="20"/>
        </w:rPr>
      </w:r>
      <w:r>
        <w:rPr>
          <w:rFonts w:ascii="微软雅黑" w:hAnsi="微软雅黑" w:eastAsia="微软雅黑"/>
          <w:b/>
          <w:color w:val="555555"/>
          <w:sz w:val="20"/>
        </w:rPr>
        <w:t>规划原则</w:t>
      </w:r>
      <w:r>
        <w:rPr>
          <w:rFonts w:ascii="微软雅黑" w:hAnsi="微软雅黑" w:eastAsia="微软雅黑"/>
          <w:color w:val="555555"/>
          <w:sz w:val="20"/>
        </w:rPr>
        <w:t>：里程碑采用"保守承诺、积极执行"策略。对外承诺的里程碑目标（如12月1000用户、MRR 22.5万）为保守底线，内部执行按财务模型的预期目标（3000用户、MRR 144.7万）推进。每个决策节点设置明确的触发条件和备选方案，确保项目在不确定性中保持灵活应变能力。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微软雅黑" w:hAnsi="微软雅黑" w:eastAsia="微软雅黑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微软雅黑" w:hAnsi="微软雅黑" w:eastAsia="微软雅黑"/>
        <w:color w:val="999999"/>
        <w:sz w:val="16"/>
      </w:rPr>
      <w:t>义乌小商品出海智能体-OPC 里程碑规划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