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Should Schools Ban Smartphones?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Smartphones have become the default companion of the modern teenager, and schools across the country are now debating whether to remove them from classrooms entirely. A full ban is the wrong answer. Schools should regulate phone use rather than prohibit it, because structured access teaches the self-regulation that students will need for the rest of their lives.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Critics of phones point to attention research, and they are not wrong about the data. Studies of classroom attention consistently find that students who keep a phone within reach perform worse on comprehension tasks. But this finding describes unmanaged access, not managed access. When a teacher builds a lesson around a phone-based polling tool, the same device that fragmented attention a moment earlier becomes the instrument that holds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There is also an equity argument that ban advocates rarely address. For many students, the phone in their pocket is the only computer their household owns. A blanket ban removes a research tool from exactly the students who have no replacement waiting at home, while wealthier classmates simply open a laptop.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Finally, banning phones outsources a skill that schools exist to teach. We do not respond to poor essay structure by banning writing; we teach structure. Attention is no different. A school that confiscates phones for four years graduates students who have never once practiced managing a device in a demanding environment.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reasonable middle path is a tiered policy: phones away during instruction, available during collaborative work, and explicitly taught as a research tool. That policy respects the attention research, protects equity, and still leaves room for the lesson that matters most, which is learning when to put the thing down.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