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b/>
          <w:sz w:val="36"/>
        </w:rPr>
        <w:t>研究生学位论文中期报告</w:t>
      </w:r>
    </w:p>
    <w:p>
      <w:pPr>
        <w:pStyle w:val="Heading2"/>
      </w:pPr>
      <w:r>
        <w:rPr>
          <w:rFonts w:ascii="Times New Roman" w:hAnsi="Times New Roman" w:eastAsia="黑体"/>
          <w:b/>
          <w:sz w:val="30"/>
        </w:rPr>
        <w:t>学位论文题目</w:t>
      </w:r>
    </w:p>
    <w:p>
      <w:pPr>
        <w:spacing w:after="0"/>
      </w:pPr>
      <w:r>
        <w:rPr>
          <w:rFonts w:ascii="Times New Roman" w:hAnsi="Times New Roman" w:eastAsia="宋体"/>
          <w:b/>
          <w:sz w:val="24"/>
        </w:rPr>
        <w:t>基于地理语义增强时空Transformer的京津冀PM2.5浓度预测研究</w:t>
      </w:r>
    </w:p>
    <w:p>
      <w:pPr>
        <w:pStyle w:val="Heading1"/>
      </w:pPr>
      <w:r>
        <w:rPr>
          <w:rFonts w:ascii="Times New Roman" w:hAnsi="Times New Roman" w:eastAsia="黑体"/>
          <w:b/>
          <w:sz w:val="36"/>
        </w:rPr>
        <w:t>1. 绪论</w:t>
      </w:r>
    </w:p>
    <w:p>
      <w:pPr>
        <w:pStyle w:val="Heading2"/>
      </w:pPr>
      <w:r>
        <w:rPr>
          <w:rFonts w:ascii="Times New Roman" w:hAnsi="Times New Roman" w:eastAsia="黑体"/>
          <w:b/>
          <w:sz w:val="30"/>
        </w:rPr>
        <w:t>1.1 选题背景、目的和意义</w:t>
      </w:r>
    </w:p>
    <w:p>
      <w:pPr>
        <w:pStyle w:val="Heading3"/>
      </w:pPr>
      <w:r>
        <w:rPr>
          <w:rFonts w:ascii="Times New Roman" w:hAnsi="Times New Roman" w:eastAsia="黑体"/>
          <w:b/>
          <w:sz w:val="26"/>
        </w:rPr>
        <w:t>1.1.1 研究背景</w:t>
      </w:r>
    </w:p>
    <w:p>
      <w:pPr>
        <w:spacing w:after="0"/>
      </w:pPr>
      <w:r>
        <w:rPr>
          <w:rFonts w:ascii="Times New Roman" w:hAnsi="Times New Roman" w:eastAsia="宋体"/>
          <w:b w:val="0"/>
          <w:sz w:val="24"/>
        </w:rPr>
        <w:t>细颗粒物（PM2.5）因粒径极小，能够深入人体肺部乃至进入血液，对呼吸系统和心血管系统造成严重损害。全球疾病负担研究评估显示，大气颗粒物污染每年在全球范围内造成超过400万人过早死亡，已成为仅次于高血压、吸烟和糖尿病的第四大健康风险因子[1]。流行病学研究发现，PM2.5对人体健康的危害不存在明确的安全阈值——即便浓度低于现行标准，长期暴露仍会增加心肺疾病发病风险[2]。基于此，世界卫生组织于2021年将PM2.5年均浓度指导值从10 μg/m³大幅收紧至5 μg/m³[3]。</w:t>
      </w:r>
    </w:p>
    <w:p>
      <w:pPr>
        <w:spacing w:after="0"/>
      </w:pPr>
      <w:r>
        <w:rPr>
          <w:rFonts w:ascii="Times New Roman" w:hAnsi="Times New Roman" w:eastAsia="宋体"/>
          <w:b w:val="0"/>
          <w:sz w:val="24"/>
        </w:rPr>
        <w:t>京津冀地区是我国大气污染防治的核心区域与难点区域。该区域西倚太行山、北靠燕山，东南面向华北平原，三面环山的半封闭地形在静稳天气下不利于污染物扩散；区域内钢铁、水泥、石化等重工业密集分布，河北省钢铁产量长期占全国四分之一以上，叠加冬季散煤取暖与2800万辆机动车排放，形成了典型的复合型大气污染格局。数值模拟研究表明，重污染过程中北京市PM2.5浓度中来自周边城市传输的贡献可达40%–60%[8]，说明京津冀空气污染具有显著的区域性特征，亟需区域层面的联合预报与协同治理。</w:t>
      </w:r>
    </w:p>
    <w:p>
      <w:pPr>
        <w:spacing w:after="0"/>
      </w:pPr>
      <w:r>
        <w:rPr>
          <w:rFonts w:ascii="Times New Roman" w:hAnsi="Times New Roman" w:eastAsia="宋体"/>
          <w:b w:val="0"/>
          <w:sz w:val="24"/>
        </w:rPr>
        <w:t>在预测技术方面，传统统计方法（如ARIMA）本质依赖线性假设，难以刻画PM2.5浓度的强非线性变化；数值模式（如CMAQ、WRF-Chem）虽物理机理完备，但依赖精确的排放清单与气象初始场，计算成本高昂，难以满足实时预报需求。近年来，以图神经网络和Transformer为代表的深度学习方法在空气质量预测中取得了显著进展，其中Liang等[16]于2023年提出的AirFormer模型在覆盖全国1085个监测站点的空气质量集体预测中取得最优性能。然而，AirFormer主要在全国尺度上验证，其在京津冀等区域尺度的适用性尚缺乏系统考察；同时，现有研究大多仅关注浓度回归单一任务，对浓度预测、等级分类与重污染预警的多层次联合建模研究尚不充分。</w:t>
      </w:r>
    </w:p>
    <w:p>
      <w:pPr>
        <w:pStyle w:val="Heading3"/>
      </w:pPr>
      <w:r>
        <w:rPr>
          <w:rFonts w:ascii="Times New Roman" w:hAnsi="Times New Roman" w:eastAsia="黑体"/>
          <w:b/>
          <w:sz w:val="26"/>
        </w:rPr>
        <w:t>1.1.2 研究目的和意义</w:t>
      </w:r>
    </w:p>
    <w:p>
      <w:pPr>
        <w:spacing w:after="0"/>
      </w:pPr>
      <w:r>
        <w:rPr>
          <w:rFonts w:ascii="Times New Roman" w:hAnsi="Times New Roman" w:eastAsia="宋体"/>
          <w:b w:val="0"/>
          <w:sz w:val="24"/>
        </w:rPr>
        <w:t>本文的研究目的概括为三个层面：其一，考察时空Transformer模型从全国尺度迁移至京津冀这一特定区域后的预测效果，评估其在区域空气质量预测中的适用性；其二，通过与多种经典方法和前沿方法的系统对比，定量刻画该模型在不同预测时长下的性能优势与局限；其三，为京津冀地区的大气污染预警与应急管理提供一种经过实验验证的预测技术参考。</w:t>
      </w:r>
    </w:p>
    <w:p>
      <w:pPr>
        <w:spacing w:after="0"/>
      </w:pPr>
      <w:r>
        <w:rPr>
          <w:rFonts w:ascii="Times New Roman" w:hAnsi="Times New Roman" w:eastAsia="宋体"/>
          <w:b w:val="0"/>
          <w:sz w:val="24"/>
        </w:rPr>
        <w:t>本研究的学术意义在于：通过系统的区域尺度实验，揭示时空Transformer各核心模块在区域预测中的作用机制与适用条件，为时空Transformer模型的跨尺度应用积累经验。应用意义在于：构建的多任务预测框架能够同时输出浓度预测、等级分类与重污染预警等多层次信息，为区域大气污染防治和应急管理提供更全面的技术支持。</w:t>
      </w:r>
    </w:p>
    <w:p>
      <w:pPr>
        <w:pStyle w:val="Heading2"/>
      </w:pPr>
      <w:r>
        <w:rPr>
          <w:rFonts w:ascii="Times New Roman" w:hAnsi="Times New Roman" w:eastAsia="黑体"/>
          <w:b/>
          <w:sz w:val="30"/>
        </w:rPr>
        <w:t>1.2 文献综述</w:t>
      </w:r>
    </w:p>
    <w:p>
      <w:pPr>
        <w:spacing w:after="0"/>
      </w:pPr>
      <w:r>
        <w:rPr>
          <w:rFonts w:ascii="Times New Roman" w:hAnsi="Times New Roman" w:eastAsia="宋体"/>
          <w:b w:val="0"/>
          <w:sz w:val="24"/>
        </w:rPr>
        <w:t>空气质量预测研究经历了从数值模拟模型、统计学方法到机器学习和深度学习方法的演进过程。</w:t>
      </w:r>
    </w:p>
    <w:p>
      <w:pPr>
        <w:spacing w:after="0"/>
      </w:pPr>
      <w:r>
        <w:rPr>
          <w:rFonts w:ascii="Times New Roman" w:hAnsi="Times New Roman" w:eastAsia="宋体"/>
          <w:b w:val="0"/>
          <w:sz w:val="24"/>
        </w:rPr>
        <w:t>在数值模拟方面，CMAQ[66]、NAQPMS[67]、WRF-Chem[68]等模式基于污染物扩散理论和大气物理化学规律建模，具有明确的物理基础，但对排放清单和气象场精度要求高、计算成本大，难以满足实时预测需求。</w:t>
      </w:r>
    </w:p>
    <w:p>
      <w:pPr>
        <w:spacing w:after="0"/>
      </w:pPr>
      <w:r>
        <w:rPr>
          <w:rFonts w:ascii="Times New Roman" w:hAnsi="Times New Roman" w:eastAsia="宋体"/>
          <w:b w:val="0"/>
          <w:sz w:val="24"/>
        </w:rPr>
        <w:t>在统计学方法方面，ARIMA[73]等时间序列模型实现简单、计算量小，但本质依赖线性假设，难以充分捕捉污染物演化的非线性特征和复杂时空依赖关系。</w:t>
      </w:r>
    </w:p>
    <w:p>
      <w:pPr>
        <w:spacing w:after="0"/>
      </w:pPr>
      <w:r>
        <w:rPr>
          <w:rFonts w:ascii="Times New Roman" w:hAnsi="Times New Roman" w:eastAsia="宋体"/>
          <w:b w:val="0"/>
          <w:sz w:val="24"/>
        </w:rPr>
        <w:t>在机器学习方法方面，支持向量回归、随机森林、梯度提升树等方法能够从数据中自动提取特征，但面对高维时空数据时特征提取能力有限，难以有效表达时序动态和空间依赖。</w:t>
      </w:r>
    </w:p>
    <w:p>
      <w:pPr>
        <w:spacing w:after="0"/>
      </w:pPr>
      <w:r>
        <w:rPr>
          <w:rFonts w:ascii="Times New Roman" w:hAnsi="Times New Roman" w:eastAsia="宋体"/>
          <w:b w:val="0"/>
          <w:sz w:val="24"/>
        </w:rPr>
        <w:t>在深度学习方法方面，早期工作以LSTM[32]、GRU[35]、TCN[79]等时序模型为主，但仅聚焦时间维度，忽略站点间的空间依赖。为同时捕捉时空特征，研究者引入CNN[83]和图神经网络：DCRNN[12]、STGCN[13]、Graph WaveNet[14]、MTGNN[57]等时空图神经网络相继提出，但此类方法受限于局部聚合机制和固定图结构，难以同时捕捉短程与长程空间交互以及动态变化的空间相关性。</w:t>
      </w:r>
    </w:p>
    <w:p>
      <w:pPr>
        <w:spacing w:after="0"/>
      </w:pPr>
      <w:r>
        <w:rPr>
          <w:rFonts w:ascii="Times New Roman" w:hAnsi="Times New Roman" w:eastAsia="宋体"/>
          <w:b w:val="0"/>
          <w:sz w:val="24"/>
        </w:rPr>
        <w:t>在注意力机制与Transformer方面，Bahdanau等[60]首次提出加性注意力机制，Vaswani等[15]提出完全基于自注意力的Transformer架构。在时间序列预测领域，Informer[40]、Autoformer[118]、FEDformer[119]、PatchTST[120]等模型相继提出。在空气质量预测领域，Liang等[16]提出的AirFormer模型通过飞镖盘空间多头自注意力（DS-MSA）与因果时间多头自注意力（CT-MSA）的耦合设计，实现了全国尺度空气质量集体预测的最优性能。然而，现有工作主要在全国尺度验证，区域尺度的适用性研究仍属空白。</w:t>
      </w:r>
    </w:p>
    <w:p>
      <w:pPr>
        <w:spacing w:after="0"/>
      </w:pPr>
      <w:r>
        <w:rPr>
          <w:rFonts w:ascii="Times New Roman" w:hAnsi="Times New Roman" w:eastAsia="宋体"/>
          <w:b w:val="0"/>
          <w:sz w:val="24"/>
        </w:rPr>
        <w:t>综上所述，面向区域尺度、融合多源地理先验与多层次预测需求的时空预测方法，是当前空气质量预测研究的重要发展方向。</w:t>
      </w:r>
    </w:p>
    <w:p>
      <w:pPr>
        <w:pStyle w:val="Heading2"/>
      </w:pPr>
      <w:r>
        <w:rPr>
          <w:rFonts w:ascii="Times New Roman" w:hAnsi="Times New Roman" w:eastAsia="黑体"/>
          <w:b/>
          <w:sz w:val="30"/>
        </w:rPr>
        <w:t>1.3 科学问题、研究内容和创新点</w:t>
      </w:r>
    </w:p>
    <w:p>
      <w:pPr>
        <w:pStyle w:val="Heading3"/>
      </w:pPr>
      <w:r>
        <w:rPr>
          <w:rFonts w:ascii="Times New Roman" w:hAnsi="Times New Roman" w:eastAsia="黑体"/>
          <w:b/>
          <w:sz w:val="26"/>
        </w:rPr>
        <w:t>1.3.1 科学问题</w:t>
      </w:r>
    </w:p>
    <w:p>
      <w:pPr>
        <w:spacing w:after="0"/>
      </w:pPr>
      <w:r>
        <w:rPr>
          <w:rFonts w:ascii="Times New Roman" w:hAnsi="Times New Roman" w:eastAsia="宋体"/>
          <w:b w:val="0"/>
          <w:sz w:val="24"/>
        </w:rPr>
        <w:t>本文要回答的核心问题是：在京津冀这一区域尺度下，如何把多源地理语义信息有效融入时空Transformer模型，实现对PM2.5浓度的多尺度时空建模与多层次联合预测。围绕这个问题，论文需要依次解决三件事。首先是摸清京津冀PM2.5浓度自身的时空规律——它在时间上如何波动、在空间上如何分布、受哪些气象因子驱动，这些规律构成了模型设计的物理依据。其次是在空间建模上做文章，把距离、邻接关系、方位这些地理先验注入空间注意力机制，让模型真正感知站点之间的地理关系。最后是把浓度预测、等级分类、重污染预警三个任务放进同一个框架里联合优化，满足实际预报的多层次需求。</w:t>
      </w:r>
    </w:p>
    <w:p>
      <w:pPr>
        <w:pStyle w:val="Heading3"/>
      </w:pPr>
      <w:r>
        <w:rPr>
          <w:rFonts w:ascii="Times New Roman" w:hAnsi="Times New Roman" w:eastAsia="黑体"/>
          <w:b/>
          <w:sz w:val="26"/>
        </w:rPr>
        <w:t>1.3.2 研究内容</w:t>
      </w:r>
    </w:p>
    <w:p>
      <w:pPr>
        <w:spacing w:after="0"/>
      </w:pPr>
      <w:r>
        <w:rPr>
          <w:rFonts w:ascii="Times New Roman" w:hAnsi="Times New Roman" w:eastAsia="宋体"/>
          <w:b w:val="0"/>
          <w:sz w:val="24"/>
        </w:rPr>
        <w:t>研究内容分三块展开，彼此衔接。</w:t>
      </w:r>
    </w:p>
    <w:p>
      <w:pPr>
        <w:spacing w:after="0"/>
      </w:pPr>
      <w:r>
        <w:rPr>
          <w:rFonts w:ascii="Times New Roman" w:hAnsi="Times New Roman" w:eastAsia="宋体"/>
          <w:b w:val="0"/>
          <w:sz w:val="24"/>
        </w:rPr>
        <w:t>在数据层面，收集京津冀及周边193个国控站点2022至2025年的逐小时空气质量观测（PM2.5、PM10、NO2、CO、O3、SO2六项污染物）、ERA5气象再分析与站点地理信息，经过缺失值填补、异常值处理、标准化和特征工程，构建出38维特征的多源时空数据集，并在此基础上系统揭示PM2.5浓度的时空耦合特征。</w:t>
      </w:r>
    </w:p>
    <w:p>
      <w:pPr>
        <w:spacing w:after="0"/>
      </w:pPr>
      <w:r>
        <w:rPr>
          <w:rFonts w:ascii="Times New Roman" w:hAnsi="Times New Roman" w:eastAsia="宋体"/>
          <w:b w:val="0"/>
          <w:sz w:val="24"/>
        </w:rPr>
        <w:t>在模型层面，以AirFormer架构为基础，针对京津冀区域特点提出GeoAirFormer模型。模型包含三项核心设计：一是地理语义增强多头空间注意力，通过融合高斯距离与K近邻两种邻接矩阵来增强空间建模；二是因果时间多头注意力，通过因果掩码和时间衰减偏置实现多时间尺度联合建模；三是多任务学习框架，同时输出浓度、等级和预警信息。</w:t>
      </w:r>
    </w:p>
    <w:p>
      <w:pPr>
        <w:spacing w:after="0"/>
      </w:pPr>
      <w:r>
        <w:rPr>
          <w:rFonts w:ascii="Times New Roman" w:hAnsi="Times New Roman" w:eastAsia="宋体"/>
          <w:b w:val="0"/>
          <w:sz w:val="24"/>
        </w:rPr>
        <w:t>在实验层面，选取HA、ARIMA、LSTM、GRU、Transformer、Informer、STGCN、ASTGCN、DCRNN、GWNet十个基线模型，从整体性能、消融、多步预测、季节性、空间分布和典型污染事件等多个维度，对GeoAirFormer进行系统评估。</w:t>
      </w:r>
    </w:p>
    <w:p>
      <w:pPr>
        <w:pStyle w:val="Heading3"/>
      </w:pPr>
      <w:r>
        <w:rPr>
          <w:rFonts w:ascii="Times New Roman" w:hAnsi="Times New Roman" w:eastAsia="黑体"/>
          <w:b/>
          <w:sz w:val="26"/>
        </w:rPr>
        <w:t>1.3.3 创新点</w:t>
      </w:r>
    </w:p>
    <w:p>
      <w:pPr>
        <w:spacing w:after="0"/>
      </w:pPr>
      <w:r>
        <w:rPr>
          <w:rFonts w:ascii="Times New Roman" w:hAnsi="Times New Roman" w:eastAsia="宋体"/>
          <w:b w:val="0"/>
          <w:sz w:val="24"/>
        </w:rPr>
        <w:t>论文的创新点是在已有工作基础上的改进和扩展，主要有三处。</w:t>
      </w:r>
    </w:p>
    <w:p>
      <w:pPr>
        <w:spacing w:after="0"/>
      </w:pPr>
      <w:r>
        <w:rPr>
          <w:rFonts w:ascii="Times New Roman" w:hAnsi="Times New Roman" w:eastAsia="宋体"/>
          <w:b w:val="0"/>
          <w:sz w:val="24"/>
        </w:rPr>
        <w:t>第一处是在AirFormer飞镖盘空间注意力（DS-MSA）的基础上[16]，提出地理语义增强多头空间注意力机制（GSE-MSA）。原生飞镖盘注意力主要依据距离和方位划分区域，本文在此基础上额外构建高斯距离邻接矩阵和K近邻邻接矩阵，通过可学习的自适应融合把多源地理先验作为注意力偏置注入计算，同时保留8方位投影赋予的方向感知能力。</w:t>
      </w:r>
    </w:p>
    <w:p>
      <w:pPr>
        <w:spacing w:after="0"/>
      </w:pPr>
      <w:r>
        <w:rPr>
          <w:rFonts w:ascii="Times New Roman" w:hAnsi="Times New Roman" w:eastAsia="宋体"/>
          <w:b w:val="0"/>
          <w:sz w:val="24"/>
        </w:rPr>
        <w:t>第二处是在AirFormer因果时间注意力（CT-MSA）的基础上[16]，引入多头可学习的时间衰减偏置。通过因果掩码保证时序因果性约束，让不同注意力头自适应地关注不同时间尺度的变化模式，从而把短期波动和长期趋势的建模统一起来。</w:t>
      </w:r>
    </w:p>
    <w:p>
      <w:pPr>
        <w:spacing w:after="0"/>
      </w:pPr>
      <w:r>
        <w:rPr>
          <w:rFonts w:ascii="Times New Roman" w:hAnsi="Times New Roman" w:eastAsia="宋体"/>
          <w:b w:val="0"/>
          <w:sz w:val="24"/>
        </w:rPr>
        <w:t>第三处是构建浓度回归、等级分类与重污染检测的多任务学习框架，采用Kendall等提出的基于不确定性的损失加权策略[107]平衡三个任务的梯度贡献，使模型能够同时满足浓度预测、等级判断和重污染预警的多层次应用需求。</w:t>
      </w:r>
    </w:p>
    <w:p>
      <w:pPr>
        <w:pStyle w:val="Heading2"/>
      </w:pPr>
      <w:r>
        <w:rPr>
          <w:rFonts w:ascii="Times New Roman" w:hAnsi="Times New Roman" w:eastAsia="黑体"/>
          <w:b/>
          <w:sz w:val="30"/>
        </w:rPr>
        <w:t>1.4 研究方法和技术路线</w:t>
      </w:r>
    </w:p>
    <w:p>
      <w:pPr>
        <w:pStyle w:val="Heading3"/>
      </w:pPr>
      <w:r>
        <w:rPr>
          <w:rFonts w:ascii="Times New Roman" w:hAnsi="Times New Roman" w:eastAsia="黑体"/>
          <w:b/>
          <w:sz w:val="26"/>
        </w:rPr>
        <w:t>1.4.1 研究方法</w:t>
      </w:r>
    </w:p>
    <w:p>
      <w:pPr>
        <w:spacing w:after="0"/>
      </w:pPr>
      <w:r>
        <w:rPr>
          <w:rFonts w:ascii="Times New Roman" w:hAnsi="Times New Roman" w:eastAsia="宋体"/>
          <w:b/>
          <w:sz w:val="24"/>
        </w:rPr>
        <w:t>（1）时空数据分析方法</w:t>
      </w:r>
      <w:r>
        <w:rPr>
          <w:rFonts w:ascii="Times New Roman" w:hAnsi="Times New Roman" w:eastAsia="宋体"/>
          <w:b w:val="0"/>
          <w:sz w:val="24"/>
        </w:rPr>
        <w:t>：采用描述性统计、全局Moran's I空间自相关分析、LISA局部聚类分析、Pearson相关分析等方法，系统揭示京津冀地区PM2.5浓度的时空分布特征与气象驱动机制。</w:t>
      </w:r>
    </w:p>
    <w:p>
      <w:pPr>
        <w:spacing w:after="0"/>
      </w:pPr>
      <w:r>
        <w:rPr>
          <w:rFonts w:ascii="Times New Roman" w:hAnsi="Times New Roman" w:eastAsia="宋体"/>
          <w:b/>
          <w:sz w:val="24"/>
        </w:rPr>
        <w:t>（2）时空建模方法</w:t>
      </w:r>
      <w:r>
        <w:rPr>
          <w:rFonts w:ascii="Times New Roman" w:hAnsi="Times New Roman" w:eastAsia="宋体"/>
          <w:b w:val="0"/>
          <w:sz w:val="24"/>
        </w:rPr>
        <w:t>：以Transformer架构为基础，采用自注意力机制建模时间依赖，采用图注意力机制建模空间依赖，通过地理语义增强与多尺度交叉注意力实现时空特征融合。</w:t>
      </w:r>
    </w:p>
    <w:p>
      <w:pPr>
        <w:spacing w:after="0"/>
      </w:pPr>
      <w:r>
        <w:rPr>
          <w:rFonts w:ascii="Times New Roman" w:hAnsi="Times New Roman" w:eastAsia="宋体"/>
          <w:b/>
          <w:sz w:val="24"/>
        </w:rPr>
        <w:t>（3）多任务学习方法</w:t>
      </w:r>
      <w:r>
        <w:rPr>
          <w:rFonts w:ascii="Times New Roman" w:hAnsi="Times New Roman" w:eastAsia="宋体"/>
          <w:b w:val="0"/>
          <w:sz w:val="24"/>
        </w:rPr>
        <w:t>：基于不确定性加权（Uncertainty Weighting）的多任务学习框架，实现浓度回归、AQI等级分类与重污染检测的联合优化。</w:t>
      </w:r>
    </w:p>
    <w:p>
      <w:pPr>
        <w:spacing w:after="0"/>
      </w:pPr>
      <w:r>
        <w:rPr>
          <w:rFonts w:ascii="Times New Roman" w:hAnsi="Times New Roman" w:eastAsia="宋体"/>
          <w:b/>
          <w:sz w:val="24"/>
        </w:rPr>
        <w:t>（4）实验评估方法</w:t>
      </w:r>
      <w:r>
        <w:rPr>
          <w:rFonts w:ascii="Times New Roman" w:hAnsi="Times New Roman" w:eastAsia="宋体"/>
          <w:b w:val="0"/>
          <w:sz w:val="24"/>
        </w:rPr>
        <w:t>：采用MAE、RMSE、R²、总体准确率、Macro-F1等评价指标，通过对比实验、消融实验、多步预测分析、季节性分析、空间分析与典型案例分析等多维度评估模型性能。</w:t>
      </w:r>
    </w:p>
    <w:p>
      <w:pPr>
        <w:pStyle w:val="Heading3"/>
      </w:pPr>
      <w:r>
        <w:rPr>
          <w:rFonts w:ascii="Times New Roman" w:hAnsi="Times New Roman" w:eastAsia="黑体"/>
          <w:b/>
          <w:sz w:val="26"/>
        </w:rPr>
        <w:t>1.4.2 技术路线</w:t>
      </w:r>
    </w:p>
    <w:p>
      <w:pPr>
        <w:spacing w:after="0"/>
      </w:pPr>
      <w:r>
        <w:rPr>
          <w:rFonts w:ascii="Times New Roman" w:hAnsi="Times New Roman" w:eastAsia="宋体"/>
          <w:b w:val="0"/>
          <w:sz w:val="24"/>
        </w:rPr>
        <w:t>本文按照"数据准备—数据分析—模型构建—实验评估—结论总结"的逻辑主线展开：</w:t>
      </w:r>
    </w:p>
    <w:p>
      <w:pPr>
        <w:spacing w:after="0"/>
      </w:pPr>
      <w:r>
        <w:rPr>
          <w:rFonts w:ascii="Times New Roman" w:hAnsi="Times New Roman" w:eastAsia="宋体"/>
          <w:b/>
          <w:sz w:val="24"/>
        </w:rPr>
        <w:t>（1）数据准备</w:t>
      </w:r>
      <w:r>
        <w:rPr>
          <w:rFonts w:ascii="Times New Roman" w:hAnsi="Times New Roman" w:eastAsia="宋体"/>
          <w:b w:val="0"/>
          <w:sz w:val="24"/>
        </w:rPr>
        <w:t>：收集空气质量数据（中国环境监测总站）、气象数据（ERA5再分析）与地理数据（站点经纬度、海拔、功能区类型），完成缺失值填补、异常值处理、Z-score标准化与特征工程（提取38维输入特征，含时间周期编码、滞后特征、滑动统计特征与空间属性）。</w:t>
      </w:r>
    </w:p>
    <w:p>
      <w:pPr>
        <w:spacing w:after="0"/>
      </w:pPr>
      <w:r>
        <w:rPr>
          <w:rFonts w:ascii="Times New Roman" w:hAnsi="Times New Roman" w:eastAsia="宋体"/>
          <w:b/>
          <w:sz w:val="24"/>
        </w:rPr>
        <w:t>（2）数据分析</w:t>
      </w:r>
      <w:r>
        <w:rPr>
          <w:rFonts w:ascii="Times New Roman" w:hAnsi="Times New Roman" w:eastAsia="宋体"/>
          <w:b w:val="0"/>
          <w:sz w:val="24"/>
        </w:rPr>
        <w:t>：从时间维度（季节模式、年际趋势、日内变化）、空间维度（南高北低梯度、空间自相关）与气象驱动（边界层高度、相对湿度等关键因子）三个层面揭示PM2.5浓度的时空耦合特征，为模型设计提供物理依据。</w:t>
      </w:r>
    </w:p>
    <w:p>
      <w:pPr>
        <w:spacing w:after="0"/>
      </w:pPr>
      <w:r>
        <w:rPr>
          <w:rFonts w:ascii="Times New Roman" w:hAnsi="Times New Roman" w:eastAsia="宋体"/>
          <w:b/>
          <w:sz w:val="24"/>
        </w:rPr>
        <w:t>（3）模型构建</w:t>
      </w:r>
      <w:r>
        <w:rPr>
          <w:rFonts w:ascii="Times New Roman" w:hAnsi="Times New Roman" w:eastAsia="宋体"/>
          <w:b w:val="0"/>
          <w:sz w:val="24"/>
        </w:rPr>
        <w:t>：设计GeoAirFormer模型，包含GSE-MSA空间注意力、因果时间注意力与多任务学习框架三项核心模块。</w:t>
      </w:r>
    </w:p>
    <w:p>
      <w:pPr>
        <w:spacing w:after="0"/>
      </w:pPr>
      <w:r>
        <w:rPr>
          <w:rFonts w:ascii="Times New Roman" w:hAnsi="Times New Roman" w:eastAsia="宋体"/>
          <w:b/>
          <w:sz w:val="24"/>
        </w:rPr>
        <w:t>（4）实验评估</w:t>
      </w:r>
      <w:r>
        <w:rPr>
          <w:rFonts w:ascii="Times New Roman" w:hAnsi="Times New Roman" w:eastAsia="宋体"/>
          <w:b w:val="0"/>
          <w:sz w:val="24"/>
        </w:rPr>
        <w:t>：按对比实验、消融实验、多步预测、季节性分析、空间分析与典型案例分析逐层推进。</w:t>
      </w:r>
    </w:p>
    <w:p>
      <w:pPr>
        <w:spacing w:after="0"/>
      </w:pPr>
      <w:r>
        <w:rPr>
          <w:rFonts w:ascii="Times New Roman" w:hAnsi="Times New Roman" w:eastAsia="宋体"/>
          <w:b/>
          <w:sz w:val="24"/>
        </w:rPr>
        <w:t>（5）结论总结</w:t>
      </w:r>
      <w:r>
        <w:rPr>
          <w:rFonts w:ascii="Times New Roman" w:hAnsi="Times New Roman" w:eastAsia="宋体"/>
          <w:b w:val="0"/>
          <w:sz w:val="24"/>
        </w:rPr>
        <w:t>：总结主要发现与贡献，讨论局限性与未来改进方向。</w:t>
      </w:r>
    </w:p>
    <w:p>
      <w:pPr>
        <w:pStyle w:val="Heading2"/>
      </w:pPr>
      <w:r>
        <w:rPr>
          <w:rFonts w:ascii="Times New Roman" w:hAnsi="Times New Roman" w:eastAsia="黑体"/>
          <w:b/>
          <w:sz w:val="30"/>
        </w:rPr>
        <w:t>1.5 论文完成情况（总体完成程度）</w:t>
      </w:r>
    </w:p>
    <w:p>
      <w:pPr>
        <w:spacing w:after="0"/>
      </w:pPr>
      <w:r>
        <w:rPr>
          <w:rFonts w:ascii="Times New Roman" w:hAnsi="Times New Roman" w:eastAsia="宋体"/>
          <w:b w:val="0"/>
          <w:sz w:val="24"/>
        </w:rPr>
        <w:t>截至目前，论文总体完成程度约为</w:t>
      </w:r>
      <w:r>
        <w:rPr>
          <w:rFonts w:ascii="Times New Roman" w:hAnsi="Times New Roman" w:eastAsia="宋体"/>
          <w:b/>
          <w:sz w:val="24"/>
        </w:rPr>
        <w:t>65%–70%</w:t>
      </w:r>
      <w:r>
        <w:rPr>
          <w:rFonts w:ascii="Times New Roman" w:hAnsi="Times New Roman" w:eastAsia="宋体"/>
          <w:b w:val="0"/>
          <w:sz w:val="24"/>
        </w:rPr>
        <w:t>，具体完成情况如下：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章节</w:t>
            </w:r>
          </w:p>
        </w:tc>
        <w:tc>
          <w:tcPr>
            <w:tcW w:type="dxa" w:w="2880"/>
          </w:tcPr>
          <w:p>
            <w:r>
              <w:rPr>
                <w:rFonts w:ascii="Times New Roman" w:hAnsi="Times New Roman" w:eastAsia="黑体"/>
                <w:b/>
                <w:sz w:val="21"/>
              </w:rPr>
              <w:t>内容</w:t>
            </w:r>
          </w:p>
        </w:tc>
        <w:tc>
          <w:tcPr>
            <w:tcW w:type="dxa" w:w="2880"/>
          </w:tcPr>
          <w:p>
            <w:r>
              <w:rPr>
                <w:rFonts w:ascii="Times New Roman" w:hAnsi="Times New Roman" w:eastAsia="黑体"/>
                <w:b/>
                <w:sz w:val="21"/>
              </w:rPr>
              <w:t>完成状态</w:t>
            </w:r>
          </w:p>
        </w:tc>
      </w:tr>
      <w:tr>
        <w:tc>
          <w:tcPr>
            <w:tcW w:type="dxa" w:w="2880"/>
          </w:tcPr>
          <w:p>
            <w:r>
              <w:rPr>
                <w:rFonts w:ascii="Times New Roman" w:hAnsi="Times New Roman" w:eastAsia="宋体"/>
                <w:b w:val="0"/>
                <w:sz w:val="21"/>
              </w:rPr>
              <w:t>第1章 绪论</w:t>
            </w:r>
          </w:p>
        </w:tc>
        <w:tc>
          <w:tcPr>
            <w:tcW w:type="dxa" w:w="2880"/>
          </w:tcPr>
          <w:p>
            <w:r>
              <w:rPr>
                <w:rFonts w:ascii="Times New Roman" w:hAnsi="Times New Roman" w:eastAsia="宋体"/>
                <w:b w:val="0"/>
                <w:sz w:val="21"/>
              </w:rPr>
              <w:t>背景、文献综述、科学问题、创新点</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第2章 相关理论与方法基础</w:t>
            </w:r>
          </w:p>
        </w:tc>
        <w:tc>
          <w:tcPr>
            <w:tcW w:type="dxa" w:w="2880"/>
          </w:tcPr>
          <w:p>
            <w:r>
              <w:rPr>
                <w:rFonts w:ascii="Times New Roman" w:hAnsi="Times New Roman" w:eastAsia="宋体"/>
                <w:b w:val="0"/>
                <w:sz w:val="21"/>
              </w:rPr>
              <w:t>RNN/LSTM、Transformer、GNN、AirFormer、评价指标</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第3章 研究区域概况与时空特征分析</w:t>
            </w:r>
          </w:p>
        </w:tc>
        <w:tc>
          <w:tcPr>
            <w:tcW w:type="dxa" w:w="2880"/>
          </w:tcPr>
          <w:p>
            <w:r>
              <w:rPr>
                <w:rFonts w:ascii="Times New Roman" w:hAnsi="Times New Roman" w:eastAsia="宋体"/>
                <w:b w:val="0"/>
                <w:sz w:val="21"/>
              </w:rPr>
              <w:t>站点分布、时间/空间特征、空间自相关、气象驱动</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第4章 基于地理语义增强的时空预测模型</w:t>
            </w:r>
          </w:p>
        </w:tc>
        <w:tc>
          <w:tcPr>
            <w:tcW w:type="dxa" w:w="2880"/>
          </w:tcPr>
          <w:p>
            <w:r>
              <w:rPr>
                <w:rFonts w:ascii="Times New Roman" w:hAnsi="Times New Roman" w:eastAsia="宋体"/>
                <w:b w:val="0"/>
                <w:sz w:val="21"/>
              </w:rPr>
              <w:t>GeoAirFormer模型设计与三项创新</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第5章 数据预处理与实验设计</w:t>
            </w:r>
          </w:p>
        </w:tc>
        <w:tc>
          <w:tcPr>
            <w:tcW w:type="dxa" w:w="2880"/>
          </w:tcPr>
          <w:p>
            <w:r>
              <w:rPr>
                <w:rFonts w:ascii="Times New Roman" w:hAnsi="Times New Roman" w:eastAsia="宋体"/>
                <w:b w:val="0"/>
                <w:sz w:val="21"/>
              </w:rPr>
              <w:t>数据来源、特征工程、实验设置、基线设计</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第6章 实验结果与分析</w:t>
            </w:r>
          </w:p>
        </w:tc>
        <w:tc>
          <w:tcPr>
            <w:tcW w:type="dxa" w:w="2880"/>
          </w:tcPr>
          <w:p>
            <w:r>
              <w:rPr>
                <w:rFonts w:ascii="Times New Roman" w:hAnsi="Times New Roman" w:eastAsia="宋体"/>
                <w:b w:val="0"/>
                <w:sz w:val="21"/>
              </w:rPr>
              <w:t>整体性能对比（6.1）已完成；消融、多步、季节、空间、案例（6.2–6.8）待开展</w:t>
            </w:r>
          </w:p>
        </w:tc>
        <w:tc>
          <w:tcPr>
            <w:tcW w:type="dxa" w:w="2880"/>
          </w:tcPr>
          <w:p>
            <w:r>
              <w:rPr>
                <w:rFonts w:ascii="Times New Roman" w:hAnsi="Times New Roman" w:eastAsia="宋体"/>
                <w:b w:val="0"/>
                <w:sz w:val="21"/>
              </w:rPr>
              <w:t>部分完成</w:t>
            </w:r>
          </w:p>
        </w:tc>
      </w:tr>
      <w:tr>
        <w:tc>
          <w:tcPr>
            <w:tcW w:type="dxa" w:w="2880"/>
          </w:tcPr>
          <w:p>
            <w:r>
              <w:rPr>
                <w:rFonts w:ascii="Times New Roman" w:hAnsi="Times New Roman" w:eastAsia="宋体"/>
                <w:b w:val="0"/>
                <w:sz w:val="21"/>
              </w:rPr>
              <w:t>第7章 结论与展望</w:t>
            </w:r>
          </w:p>
        </w:tc>
        <w:tc>
          <w:tcPr>
            <w:tcW w:type="dxa" w:w="2880"/>
          </w:tcPr>
          <w:p>
            <w:r>
              <w:rPr>
                <w:rFonts w:ascii="Times New Roman" w:hAnsi="Times New Roman" w:eastAsia="宋体"/>
                <w:b w:val="0"/>
                <w:sz w:val="21"/>
              </w:rPr>
              <w:t>主要结论、创新点总结已完成；不足与展望待完善</w:t>
            </w:r>
          </w:p>
        </w:tc>
        <w:tc>
          <w:tcPr>
            <w:tcW w:type="dxa" w:w="2880"/>
          </w:tcPr>
          <w:p>
            <w:r>
              <w:rPr>
                <w:rFonts w:ascii="Times New Roman" w:hAnsi="Times New Roman" w:eastAsia="宋体"/>
                <w:b w:val="0"/>
                <w:sz w:val="21"/>
              </w:rPr>
              <w:t>部分完成</w:t>
            </w:r>
          </w:p>
        </w:tc>
      </w:tr>
    </w:tbl>
    <w:p>
      <w:pPr>
        <w:spacing w:after="0"/>
      </w:pPr>
      <w:r>
        <w:rPr>
          <w:rFonts w:ascii="Times New Roman" w:hAnsi="Times New Roman" w:eastAsia="宋体"/>
          <w:b w:val="0"/>
          <w:sz w:val="24"/>
        </w:rPr>
        <w:t>已完成的阶段性成果包括：193站点多源时空数据集的构建、PM2.5多尺度时空耦合特征的系统分析、GeoAirFormer模型的完整设计与实现、以及10个基线模型的主对比实验。</w:t>
      </w:r>
    </w:p>
    <w:p>
      <w:pPr>
        <w:pStyle w:val="Heading1"/>
      </w:pPr>
      <w:r>
        <w:rPr>
          <w:rFonts w:ascii="Times New Roman" w:hAnsi="Times New Roman" w:eastAsia="黑体"/>
          <w:b/>
          <w:sz w:val="36"/>
        </w:rPr>
        <w:t>2. 研究内容一：京津冀PM2.5时空特征分析与数据集构建</w:t>
      </w:r>
    </w:p>
    <w:p>
      <w:pPr>
        <w:pStyle w:val="Heading2"/>
      </w:pPr>
      <w:r>
        <w:rPr>
          <w:rFonts w:ascii="Times New Roman" w:hAnsi="Times New Roman" w:eastAsia="黑体"/>
          <w:b/>
          <w:sz w:val="30"/>
        </w:rPr>
        <w:t>2.1 研究内容概述</w:t>
      </w:r>
    </w:p>
    <w:p>
      <w:pPr>
        <w:spacing w:after="0"/>
      </w:pPr>
      <w:r>
        <w:rPr>
          <w:rFonts w:ascii="Times New Roman" w:hAnsi="Times New Roman" w:eastAsia="宋体"/>
          <w:b w:val="0"/>
          <w:sz w:val="24"/>
        </w:rPr>
        <w:t>本部分研究内容对应论文第3章与第5章，旨在完成研究数据的收集、预处理与系统性时空特征分析，为后续模型设计提供数据基础与物理依据。</w:t>
      </w:r>
    </w:p>
    <w:p>
      <w:pPr>
        <w:pStyle w:val="Heading2"/>
      </w:pPr>
      <w:r>
        <w:rPr>
          <w:rFonts w:ascii="Times New Roman" w:hAnsi="Times New Roman" w:eastAsia="黑体"/>
          <w:b/>
          <w:sz w:val="30"/>
        </w:rPr>
        <w:t>2.2 工作进展与完成工作量</w:t>
      </w:r>
    </w:p>
    <w:p>
      <w:pPr>
        <w:spacing w:after="0"/>
      </w:pPr>
      <w:r>
        <w:rPr>
          <w:rFonts w:ascii="Times New Roman" w:hAnsi="Times New Roman" w:eastAsia="宋体"/>
          <w:b/>
          <w:sz w:val="24"/>
        </w:rPr>
        <w:t>已完成工作</w:t>
      </w:r>
      <w:r>
        <w:rPr>
          <w:rFonts w:ascii="Times New Roman" w:hAnsi="Times New Roman" w:eastAsia="宋体"/>
          <w:b w:val="0"/>
          <w:sz w:val="24"/>
        </w:rPr>
        <w:t>（完成度100%）：</w:t>
      </w:r>
    </w:p>
    <w:p>
      <w:pPr>
        <w:spacing w:after="0"/>
      </w:pPr>
      <w:r>
        <w:rPr>
          <w:rFonts w:ascii="Times New Roman" w:hAnsi="Times New Roman" w:eastAsia="宋体"/>
          <w:b w:val="0"/>
          <w:sz w:val="24"/>
        </w:rPr>
        <w:t>（1）</w:t>
      </w:r>
      <w:r>
        <w:rPr>
          <w:rFonts w:ascii="Times New Roman" w:hAnsi="Times New Roman" w:eastAsia="宋体"/>
          <w:b/>
          <w:sz w:val="24"/>
        </w:rPr>
        <w:t>多源数据收集</w:t>
      </w:r>
      <w:r>
        <w:rPr>
          <w:rFonts w:ascii="Times New Roman" w:hAnsi="Times New Roman" w:eastAsia="宋体"/>
          <w:b w:val="0"/>
          <w:sz w:val="24"/>
        </w:rPr>
        <w:t>：收集了京津冀及周边地区193个国控监测站点2022年1月至2025年1月的逐小时空气质量观测数据，涵盖PM2.5、PM10、NO2、CO、O3、SO2六项常规污染物，数据来源于中国环境监测总站；收集了对应时段的ERA5气象再分析数据（0.25°网格），包括温度、相对湿度、风速、风向、气压与边界层高度，并按站点位置进行双线性插值；收集了站点经纬度、海拔与功能区类型等地理信息。</w:t>
      </w:r>
    </w:p>
    <w:p>
      <w:pPr>
        <w:spacing w:after="0"/>
      </w:pPr>
      <w:r>
        <w:rPr>
          <w:rFonts w:ascii="Times New Roman" w:hAnsi="Times New Roman" w:eastAsia="宋体"/>
          <w:b w:val="0"/>
          <w:sz w:val="24"/>
        </w:rPr>
        <w:t>（2）</w:t>
      </w:r>
      <w:r>
        <w:rPr>
          <w:rFonts w:ascii="Times New Roman" w:hAnsi="Times New Roman" w:eastAsia="宋体"/>
          <w:b/>
          <w:sz w:val="24"/>
        </w:rPr>
        <w:t>数据预处理</w:t>
      </w:r>
      <w:r>
        <w:rPr>
          <w:rFonts w:ascii="Times New Roman" w:hAnsi="Times New Roman" w:eastAsia="宋体"/>
          <w:b w:val="0"/>
          <w:sz w:val="24"/>
        </w:rPr>
        <w:t>：采用时间插值与空间插值相结合的策略填补缺失值，基于统计阈值法与领域知识识别并修正异常值，通过Z-score标准化消除量纲差异。</w:t>
      </w:r>
    </w:p>
    <w:p>
      <w:pPr>
        <w:spacing w:after="0"/>
      </w:pPr>
      <w:r>
        <w:rPr>
          <w:rFonts w:ascii="Times New Roman" w:hAnsi="Times New Roman" w:eastAsia="宋体"/>
          <w:b w:val="0"/>
          <w:sz w:val="24"/>
        </w:rPr>
        <w:t>（3）</w:t>
      </w:r>
      <w:r>
        <w:rPr>
          <w:rFonts w:ascii="Times New Roman" w:hAnsi="Times New Roman" w:eastAsia="宋体"/>
          <w:b/>
          <w:sz w:val="24"/>
        </w:rPr>
        <w:t>特征工程</w:t>
      </w:r>
      <w:r>
        <w:rPr>
          <w:rFonts w:ascii="Times New Roman" w:hAnsi="Times New Roman" w:eastAsia="宋体"/>
          <w:b w:val="0"/>
          <w:sz w:val="24"/>
        </w:rPr>
        <w:t>：构建了38维输入特征体系，包括时间周期编码（小时、星期、月份）、滞后特征、滑动窗口统计特征与空间距离特征。</w:t>
      </w:r>
    </w:p>
    <w:p>
      <w:pPr>
        <w:spacing w:after="0"/>
      </w:pPr>
      <w:r>
        <w:rPr>
          <w:rFonts w:ascii="Times New Roman" w:hAnsi="Times New Roman" w:eastAsia="宋体"/>
          <w:b w:val="0"/>
          <w:sz w:val="24"/>
        </w:rPr>
        <w:t>（4）</w:t>
      </w:r>
      <w:r>
        <w:rPr>
          <w:rFonts w:ascii="Times New Roman" w:hAnsi="Times New Roman" w:eastAsia="宋体"/>
          <w:b/>
          <w:sz w:val="24"/>
        </w:rPr>
        <w:t>时间维度特征分析</w:t>
      </w:r>
      <w:r>
        <w:rPr>
          <w:rFonts w:ascii="Times New Roman" w:hAnsi="Times New Roman" w:eastAsia="宋体"/>
          <w:b w:val="0"/>
          <w:sz w:val="24"/>
        </w:rPr>
        <w:t>：揭示了PM2.5浓度冬高夏低的U型季节模式（冬季均值46.94 μg/m³，约为夏季22.95 μg/m³的2.05倍）、整体年际下降趋势（2025年1月较2022年同期下降约32.8%）以及早晚双峰的日内变化模式。</w:t>
      </w:r>
    </w:p>
    <w:p>
      <w:pPr>
        <w:spacing w:after="0"/>
      </w:pPr>
      <w:r>
        <w:rPr>
          <w:rFonts w:ascii="Times New Roman" w:hAnsi="Times New Roman" w:eastAsia="宋体"/>
          <w:b w:val="0"/>
          <w:sz w:val="24"/>
        </w:rPr>
        <w:t>（5）</w:t>
      </w:r>
      <w:r>
        <w:rPr>
          <w:rFonts w:ascii="Times New Roman" w:hAnsi="Times New Roman" w:eastAsia="宋体"/>
          <w:b/>
          <w:sz w:val="24"/>
        </w:rPr>
        <w:t>空间维度特征分析</w:t>
      </w:r>
      <w:r>
        <w:rPr>
          <w:rFonts w:ascii="Times New Roman" w:hAnsi="Times New Roman" w:eastAsia="宋体"/>
          <w:b w:val="0"/>
          <w:sz w:val="24"/>
        </w:rPr>
        <w:t>：揭示了PM2.5浓度南高北低的稳定梯度格局（南北浓度差达2.5倍）；全局Moran's I分析表明区域空间正相关性显著（冬季I=0.809，夏季I=0.471），且具有明显季节分异特征。</w:t>
      </w:r>
    </w:p>
    <w:p>
      <w:pPr>
        <w:spacing w:after="0"/>
      </w:pPr>
      <w:r>
        <w:rPr>
          <w:rFonts w:ascii="Times New Roman" w:hAnsi="Times New Roman" w:eastAsia="宋体"/>
          <w:b w:val="0"/>
          <w:sz w:val="24"/>
        </w:rPr>
        <w:t>（6）</w:t>
      </w:r>
      <w:r>
        <w:rPr>
          <w:rFonts w:ascii="Times New Roman" w:hAnsi="Times New Roman" w:eastAsia="宋体"/>
          <w:b/>
          <w:sz w:val="24"/>
        </w:rPr>
        <w:t>气象驱动因子分析</w:t>
      </w:r>
      <w:r>
        <w:rPr>
          <w:rFonts w:ascii="Times New Roman" w:hAnsi="Times New Roman" w:eastAsia="宋体"/>
          <w:b w:val="0"/>
          <w:sz w:val="24"/>
        </w:rPr>
        <w:t>：识别出边界层高度（r=-0.233）与相对湿度（r=+0.233）为影响PM2.5的最关键气象因子，两者与PM2.5的关系均呈现显著非线性特征。</w:t>
      </w:r>
    </w:p>
    <w:p>
      <w:pPr>
        <w:pStyle w:val="Heading2"/>
      </w:pPr>
      <w:r>
        <w:rPr>
          <w:rFonts w:ascii="Times New Roman" w:hAnsi="Times New Roman" w:eastAsia="黑体"/>
          <w:b/>
          <w:sz w:val="30"/>
        </w:rPr>
        <w:t>2.3 阶段性成果</w:t>
      </w:r>
    </w:p>
    <w:p>
      <w:pPr>
        <w:spacing w:after="0"/>
      </w:pPr>
      <w:r>
        <w:rPr>
          <w:rFonts w:ascii="Times New Roman" w:hAnsi="Times New Roman" w:eastAsia="宋体"/>
          <w:b w:val="0"/>
          <w:sz w:val="24"/>
        </w:rPr>
        <w:t>本部分研究内容已完成，主要成果包括：一套覆盖193站点、3年逐小时的多源时空数据集；PM2.5浓度多尺度时空耦合特征的系统性结论，为模型中空间注意力机制与多尺度时间建模的引入提供了物理依据。</w:t>
      </w:r>
    </w:p>
    <w:p>
      <w:pPr>
        <w:pStyle w:val="Heading1"/>
      </w:pPr>
      <w:r>
        <w:rPr>
          <w:rFonts w:ascii="Times New Roman" w:hAnsi="Times New Roman" w:eastAsia="黑体"/>
          <w:b/>
          <w:sz w:val="36"/>
        </w:rPr>
        <w:t>3. 研究内容二：GeoAirFormer时空预测模型设计与实现</w:t>
      </w:r>
    </w:p>
    <w:p>
      <w:pPr>
        <w:pStyle w:val="Heading2"/>
      </w:pPr>
      <w:r>
        <w:rPr>
          <w:rFonts w:ascii="Times New Roman" w:hAnsi="Times New Roman" w:eastAsia="黑体"/>
          <w:b/>
          <w:sz w:val="30"/>
        </w:rPr>
        <w:t>3.1 研究内容概述</w:t>
      </w:r>
    </w:p>
    <w:p>
      <w:pPr>
        <w:spacing w:after="0"/>
      </w:pPr>
      <w:r>
        <w:rPr>
          <w:rFonts w:ascii="Times New Roman" w:hAnsi="Times New Roman" w:eastAsia="宋体"/>
          <w:b w:val="0"/>
          <w:sz w:val="24"/>
        </w:rPr>
        <w:t>本部分研究内容对应论文第4章，旨在针对京津冀区域尺度预测需求，设计并实现基于地理语义增强的时空Transformer模型GeoAirFormer。</w:t>
      </w:r>
    </w:p>
    <w:p>
      <w:pPr>
        <w:pStyle w:val="Heading2"/>
      </w:pPr>
      <w:r>
        <w:rPr>
          <w:rFonts w:ascii="Times New Roman" w:hAnsi="Times New Roman" w:eastAsia="黑体"/>
          <w:b/>
          <w:sz w:val="30"/>
        </w:rPr>
        <w:t>3.2 工作进展与完成工作量</w:t>
      </w:r>
    </w:p>
    <w:p>
      <w:pPr>
        <w:spacing w:after="0"/>
      </w:pPr>
      <w:r>
        <w:rPr>
          <w:rFonts w:ascii="Times New Roman" w:hAnsi="Times New Roman" w:eastAsia="宋体"/>
          <w:b/>
          <w:sz w:val="24"/>
        </w:rPr>
        <w:t>已完成工作</w:t>
      </w:r>
      <w:r>
        <w:rPr>
          <w:rFonts w:ascii="Times New Roman" w:hAnsi="Times New Roman" w:eastAsia="宋体"/>
          <w:b w:val="0"/>
          <w:sz w:val="24"/>
        </w:rPr>
        <w:t>（完成度100%）：</w:t>
      </w:r>
    </w:p>
    <w:p>
      <w:pPr>
        <w:spacing w:after="0"/>
      </w:pPr>
      <w:r>
        <w:rPr>
          <w:rFonts w:ascii="Times New Roman" w:hAnsi="Times New Roman" w:eastAsia="宋体"/>
          <w:b w:val="0"/>
          <w:sz w:val="24"/>
        </w:rPr>
        <w:t>（1）</w:t>
      </w:r>
      <w:r>
        <w:rPr>
          <w:rFonts w:ascii="Times New Roman" w:hAnsi="Times New Roman" w:eastAsia="宋体"/>
          <w:b/>
          <w:sz w:val="24"/>
        </w:rPr>
        <w:t>模型整体架构设计</w:t>
      </w:r>
      <w:r>
        <w:rPr>
          <w:rFonts w:ascii="Times New Roman" w:hAnsi="Times New Roman" w:eastAsia="宋体"/>
          <w:b w:val="0"/>
          <w:sz w:val="24"/>
        </w:rPr>
        <w:t>：完成GeoAirFormer的完整架构设计，包括输入表示（线性投影+位置编码）、L层时空编码器（空间注意力→时间注意力→前馈网络）与多任务输出头（回归头、分类头、检测头）。</w:t>
      </w:r>
    </w:p>
    <w:p>
      <w:pPr>
        <w:spacing w:after="0"/>
      </w:pPr>
      <w:r>
        <w:rPr>
          <w:rFonts w:ascii="Times New Roman" w:hAnsi="Times New Roman" w:eastAsia="宋体"/>
          <w:b w:val="0"/>
          <w:sz w:val="24"/>
        </w:rPr>
        <w:t>（2）</w:t>
      </w:r>
      <w:r>
        <w:rPr>
          <w:rFonts w:ascii="Times New Roman" w:hAnsi="Times New Roman" w:eastAsia="宋体"/>
          <w:b/>
          <w:sz w:val="24"/>
        </w:rPr>
        <w:t>地理语义增强多头空间注意力机制（GSE-MSA）</w:t>
      </w:r>
      <w:r>
        <w:rPr>
          <w:rFonts w:ascii="Times New Roman" w:hAnsi="Times New Roman" w:eastAsia="宋体"/>
          <w:b w:val="0"/>
          <w:sz w:val="24"/>
        </w:rPr>
        <w:t>：完成高斯距离邻接矩阵与K近邻邻接矩阵的构建与可学习自适应融合，实现将多源地理先验以注意力偏置形式注入空间注意力计算；完成飞镖盘8方位空间投影，赋予空间注意力方向感知能力，将空间注意力计算复杂度由O(N²)降至O(N)。</w:t>
      </w:r>
    </w:p>
    <w:p>
      <w:pPr>
        <w:spacing w:after="0"/>
      </w:pPr>
      <w:r>
        <w:rPr>
          <w:rFonts w:ascii="Times New Roman" w:hAnsi="Times New Roman" w:eastAsia="宋体"/>
          <w:b w:val="0"/>
          <w:sz w:val="24"/>
        </w:rPr>
        <w:t>（3）</w:t>
      </w:r>
      <w:r>
        <w:rPr>
          <w:rFonts w:ascii="Times New Roman" w:hAnsi="Times New Roman" w:eastAsia="宋体"/>
          <w:b/>
          <w:sz w:val="24"/>
        </w:rPr>
        <w:t>因果时间多头注意力机制</w:t>
      </w:r>
      <w:r>
        <w:rPr>
          <w:rFonts w:ascii="Times New Roman" w:hAnsi="Times New Roman" w:eastAsia="宋体"/>
          <w:b w:val="0"/>
          <w:sz w:val="24"/>
        </w:rPr>
        <w:t>：完成因果掩码与多头可学习时间衰减偏置的设计与实现，实现短期波动与长期趋势的多尺度联合建模。</w:t>
      </w:r>
    </w:p>
    <w:p>
      <w:pPr>
        <w:spacing w:after="0"/>
      </w:pPr>
      <w:r>
        <w:rPr>
          <w:rFonts w:ascii="Times New Roman" w:hAnsi="Times New Roman" w:eastAsia="宋体"/>
          <w:b w:val="0"/>
          <w:sz w:val="24"/>
        </w:rPr>
        <w:t>（4）</w:t>
      </w:r>
      <w:r>
        <w:rPr>
          <w:rFonts w:ascii="Times New Roman" w:hAnsi="Times New Roman" w:eastAsia="宋体"/>
          <w:b/>
          <w:sz w:val="24"/>
        </w:rPr>
        <w:t>多任务学习框架</w:t>
      </w:r>
      <w:r>
        <w:rPr>
          <w:rFonts w:ascii="Times New Roman" w:hAnsi="Times New Roman" w:eastAsia="宋体"/>
          <w:b w:val="0"/>
          <w:sz w:val="24"/>
        </w:rPr>
        <w:t>：完成浓度回归、AQI等级分类与重污染检测三个任务的联合建模，实现基于不确定性的自适应损失权重调整策略。</w:t>
      </w:r>
    </w:p>
    <w:p>
      <w:pPr>
        <w:spacing w:after="0"/>
      </w:pPr>
      <w:r>
        <w:rPr>
          <w:rFonts w:ascii="Times New Roman" w:hAnsi="Times New Roman" w:eastAsia="宋体"/>
          <w:b w:val="0"/>
          <w:sz w:val="24"/>
        </w:rPr>
        <w:t>（5）</w:t>
      </w:r>
      <w:r>
        <w:rPr>
          <w:rFonts w:ascii="Times New Roman" w:hAnsi="Times New Roman" w:eastAsia="宋体"/>
          <w:b/>
          <w:sz w:val="24"/>
        </w:rPr>
        <w:t>模型代码实现与调优</w:t>
      </w:r>
      <w:r>
        <w:rPr>
          <w:rFonts w:ascii="Times New Roman" w:hAnsi="Times New Roman" w:eastAsia="宋体"/>
          <w:b w:val="0"/>
          <w:sz w:val="24"/>
        </w:rPr>
        <w:t>：基于PyTorch完成模型完整代码实现，在单张NVIDIA A100 80GB GPU上完成训练（单次训练约4.5小时，推理速度约0.8秒/时步，覆盖全部193站点24小时预测）。</w:t>
      </w:r>
    </w:p>
    <w:p>
      <w:pPr>
        <w:pStyle w:val="Heading2"/>
      </w:pPr>
      <w:r>
        <w:rPr>
          <w:rFonts w:ascii="Times New Roman" w:hAnsi="Times New Roman" w:eastAsia="黑体"/>
          <w:b/>
          <w:sz w:val="30"/>
        </w:rPr>
        <w:t>3.3 阶段性成果</w:t>
      </w:r>
    </w:p>
    <w:p>
      <w:pPr>
        <w:spacing w:after="0"/>
      </w:pPr>
      <w:r>
        <w:rPr>
          <w:rFonts w:ascii="Times New Roman" w:hAnsi="Times New Roman" w:eastAsia="宋体"/>
          <w:b w:val="0"/>
          <w:sz w:val="24"/>
        </w:rPr>
        <w:t>本部分研究内容已完成，主要成果包括：GeoAirFormer模型的完整实现与三项核心创新设计（GSE-MSA、因果时间注意力、多任务学习框架）。</w:t>
      </w:r>
    </w:p>
    <w:p>
      <w:pPr>
        <w:pStyle w:val="Heading1"/>
      </w:pPr>
      <w:r>
        <w:rPr>
          <w:rFonts w:ascii="Times New Roman" w:hAnsi="Times New Roman" w:eastAsia="黑体"/>
          <w:b/>
          <w:sz w:val="36"/>
        </w:rPr>
        <w:t>4. 研究内容三：模型实验验证与性能评估</w:t>
      </w:r>
    </w:p>
    <w:p>
      <w:pPr>
        <w:pStyle w:val="Heading2"/>
      </w:pPr>
      <w:r>
        <w:rPr>
          <w:rFonts w:ascii="Times New Roman" w:hAnsi="Times New Roman" w:eastAsia="黑体"/>
          <w:b/>
          <w:sz w:val="30"/>
        </w:rPr>
        <w:t>4.1 研究内容概述</w:t>
      </w:r>
    </w:p>
    <w:p>
      <w:pPr>
        <w:spacing w:after="0"/>
      </w:pPr>
      <w:r>
        <w:rPr>
          <w:rFonts w:ascii="Times New Roman" w:hAnsi="Times New Roman" w:eastAsia="宋体"/>
          <w:b w:val="0"/>
          <w:sz w:val="24"/>
        </w:rPr>
        <w:t>本部分研究内容对应论文第6章，旨在通过系统实验验证GeoAirFormer模型的预测性能，从整体性能、消融、多步预测、季节性、空间分布与典型案例等多个维度开展评估。</w:t>
      </w:r>
    </w:p>
    <w:p>
      <w:pPr>
        <w:pStyle w:val="Heading2"/>
      </w:pPr>
      <w:r>
        <w:rPr>
          <w:rFonts w:ascii="Times New Roman" w:hAnsi="Times New Roman" w:eastAsia="黑体"/>
          <w:b/>
          <w:sz w:val="30"/>
        </w:rPr>
        <w:t>4.2 工作进展与完成工作量</w:t>
      </w:r>
    </w:p>
    <w:p>
      <w:pPr>
        <w:spacing w:after="0"/>
      </w:pPr>
      <w:r>
        <w:rPr>
          <w:rFonts w:ascii="Times New Roman" w:hAnsi="Times New Roman" w:eastAsia="宋体"/>
          <w:b/>
          <w:sz w:val="24"/>
        </w:rPr>
        <w:t>已完成工作</w:t>
      </w:r>
      <w:r>
        <w:rPr>
          <w:rFonts w:ascii="Times New Roman" w:hAnsi="Times New Roman" w:eastAsia="宋体"/>
          <w:b w:val="0"/>
          <w:sz w:val="24"/>
        </w:rPr>
        <w:t>：</w:t>
      </w:r>
    </w:p>
    <w:p>
      <w:pPr>
        <w:spacing w:after="0"/>
      </w:pPr>
      <w:r>
        <w:rPr>
          <w:rFonts w:ascii="Times New Roman" w:hAnsi="Times New Roman" w:eastAsia="宋体"/>
          <w:b w:val="0"/>
          <w:sz w:val="24"/>
        </w:rPr>
        <w:t>（1）</w:t>
      </w:r>
      <w:r>
        <w:rPr>
          <w:rFonts w:ascii="Times New Roman" w:hAnsi="Times New Roman" w:eastAsia="宋体"/>
          <w:b/>
          <w:sz w:val="24"/>
        </w:rPr>
        <w:t>实验环境搭建</w:t>
      </w:r>
      <w:r>
        <w:rPr>
          <w:rFonts w:ascii="Times New Roman" w:hAnsi="Times New Roman" w:eastAsia="宋体"/>
          <w:b w:val="0"/>
          <w:sz w:val="24"/>
        </w:rPr>
        <w:t>：完成训练集（2022年1月–2024年6月）、验证集（2024年7月–2024年12月）、测试集（2025年1月–2025年12月）的严格时间划分；完成Adam优化器、余弦退火学习率调度、梯度裁剪与早停策略等训练细节配置。</w:t>
      </w:r>
    </w:p>
    <w:p>
      <w:pPr>
        <w:spacing w:after="0"/>
      </w:pPr>
      <w:r>
        <w:rPr>
          <w:rFonts w:ascii="Times New Roman" w:hAnsi="Times New Roman" w:eastAsia="宋体"/>
          <w:b w:val="0"/>
          <w:sz w:val="24"/>
        </w:rPr>
        <w:t>（2）</w:t>
      </w:r>
      <w:r>
        <w:rPr>
          <w:rFonts w:ascii="Times New Roman" w:hAnsi="Times New Roman" w:eastAsia="宋体"/>
          <w:b/>
          <w:sz w:val="24"/>
        </w:rPr>
        <w:t>主对比实验（已完成，完成度100%）</w:t>
      </w:r>
      <w:r>
        <w:rPr>
          <w:rFonts w:ascii="Times New Roman" w:hAnsi="Times New Roman" w:eastAsia="宋体"/>
          <w:b w:val="0"/>
          <w:sz w:val="24"/>
        </w:rPr>
        <w:t>：完成10个基线模型（HA、ARIMA、LSTM、GRU、Transformer、Informer、STGCN、ASTGCN、DCRNN、GWNet）的系统对比。实验结果表明，GeoAirFormer在24小时PM2.5浓度预测上取得全面最优性能：MAE为7.82 μg/m³、RMSE为11.76 μg/m³、R²为0.941，分别较最强基线GWNet降低9.6%、9.7%和提升1.4个百分点；AQI等级分类总体准确率达84.7%、Macro-F1达69.8%，分别较GWNet提升3.3和6.6个百分点。时空图模型整体优于纯时序模型（最优时序Informer与最优图模型GWNet的MAE相差15.9%），验证了空间依赖信息对PM2.5预测的重要价值。</w:t>
      </w:r>
    </w:p>
    <w:p>
      <w:pPr>
        <w:spacing w:after="0"/>
      </w:pPr>
      <w:r>
        <w:rPr>
          <w:rFonts w:ascii="Times New Roman" w:hAnsi="Times New Roman" w:eastAsia="宋体"/>
          <w:b/>
          <w:sz w:val="24"/>
        </w:rPr>
        <w:t>待开展工作</w:t>
      </w:r>
      <w:r>
        <w:rPr>
          <w:rFonts w:ascii="Times New Roman" w:hAnsi="Times New Roman" w:eastAsia="宋体"/>
          <w:b w:val="0"/>
          <w:sz w:val="24"/>
        </w:rPr>
        <w:t>：</w:t>
      </w:r>
    </w:p>
    <w:p>
      <w:pPr>
        <w:spacing w:after="0"/>
      </w:pPr>
      <w:r>
        <w:rPr>
          <w:rFonts w:ascii="Times New Roman" w:hAnsi="Times New Roman" w:eastAsia="宋体"/>
          <w:b w:val="0"/>
          <w:sz w:val="24"/>
        </w:rPr>
        <w:t>（3）</w:t>
      </w:r>
      <w:r>
        <w:rPr>
          <w:rFonts w:ascii="Times New Roman" w:hAnsi="Times New Roman" w:eastAsia="宋体"/>
          <w:b/>
          <w:sz w:val="24"/>
        </w:rPr>
        <w:t>消融实验（未开展）</w:t>
      </w:r>
      <w:r>
        <w:rPr>
          <w:rFonts w:ascii="Times New Roman" w:hAnsi="Times New Roman" w:eastAsia="宋体"/>
          <w:b w:val="0"/>
          <w:sz w:val="24"/>
        </w:rPr>
        <w:t>：计划逐个移除GSE-MSA、CrossAttn、多任务框架与自适应权重，验证各核心组件的贡献。</w:t>
      </w:r>
    </w:p>
    <w:p>
      <w:pPr>
        <w:spacing w:after="0"/>
      </w:pPr>
      <w:r>
        <w:rPr>
          <w:rFonts w:ascii="Times New Roman" w:hAnsi="Times New Roman" w:eastAsia="宋体"/>
          <w:b w:val="0"/>
          <w:sz w:val="24"/>
        </w:rPr>
        <w:t>（4）</w:t>
      </w:r>
      <w:r>
        <w:rPr>
          <w:rFonts w:ascii="Times New Roman" w:hAnsi="Times New Roman" w:eastAsia="宋体"/>
          <w:b/>
          <w:sz w:val="24"/>
        </w:rPr>
        <w:t>多步预测分析（未开展）</w:t>
      </w:r>
      <w:r>
        <w:rPr>
          <w:rFonts w:ascii="Times New Roman" w:hAnsi="Times New Roman" w:eastAsia="宋体"/>
          <w:b w:val="0"/>
          <w:sz w:val="24"/>
        </w:rPr>
        <w:t>：计划分析1–24小时各预测时步的性能衰减规律。</w:t>
      </w:r>
    </w:p>
    <w:p>
      <w:pPr>
        <w:spacing w:after="0"/>
      </w:pPr>
      <w:r>
        <w:rPr>
          <w:rFonts w:ascii="Times New Roman" w:hAnsi="Times New Roman" w:eastAsia="宋体"/>
          <w:b w:val="0"/>
          <w:sz w:val="24"/>
        </w:rPr>
        <w:t>（5）</w:t>
      </w:r>
      <w:r>
        <w:rPr>
          <w:rFonts w:ascii="Times New Roman" w:hAnsi="Times New Roman" w:eastAsia="宋体"/>
          <w:b/>
          <w:sz w:val="24"/>
        </w:rPr>
        <w:t>季节性与空间分析（未开展）</w:t>
      </w:r>
      <w:r>
        <w:rPr>
          <w:rFonts w:ascii="Times New Roman" w:hAnsi="Times New Roman" w:eastAsia="宋体"/>
          <w:b w:val="0"/>
          <w:sz w:val="24"/>
        </w:rPr>
        <w:t>：计划分析不同季节、不同省份、不同站点类型的性能差异。</w:t>
      </w:r>
    </w:p>
    <w:p>
      <w:pPr>
        <w:spacing w:after="0"/>
      </w:pPr>
      <w:r>
        <w:rPr>
          <w:rFonts w:ascii="Times New Roman" w:hAnsi="Times New Roman" w:eastAsia="宋体"/>
          <w:b w:val="0"/>
          <w:sz w:val="24"/>
        </w:rPr>
        <w:t>（6）</w:t>
      </w:r>
      <w:r>
        <w:rPr>
          <w:rFonts w:ascii="Times New Roman" w:hAnsi="Times New Roman" w:eastAsia="宋体"/>
          <w:b/>
          <w:sz w:val="24"/>
        </w:rPr>
        <w:t>典型案例分析（未开展）</w:t>
      </w:r>
      <w:r>
        <w:rPr>
          <w:rFonts w:ascii="Times New Roman" w:hAnsi="Times New Roman" w:eastAsia="宋体"/>
          <w:b w:val="0"/>
          <w:sz w:val="24"/>
        </w:rPr>
        <w:t>：计划选取冬季重污染与春季沙尘等典型事件开展预测案例分析。</w:t>
      </w:r>
    </w:p>
    <w:p>
      <w:pPr>
        <w:pStyle w:val="Heading2"/>
      </w:pPr>
      <w:r>
        <w:rPr>
          <w:rFonts w:ascii="Times New Roman" w:hAnsi="Times New Roman" w:eastAsia="黑体"/>
          <w:b/>
          <w:sz w:val="30"/>
        </w:rPr>
        <w:t>4.3 阶段性成果</w:t>
      </w:r>
    </w:p>
    <w:p>
      <w:pPr>
        <w:spacing w:after="0"/>
      </w:pPr>
      <w:r>
        <w:rPr>
          <w:rFonts w:ascii="Times New Roman" w:hAnsi="Times New Roman" w:eastAsia="宋体"/>
          <w:b w:val="0"/>
          <w:sz w:val="24"/>
        </w:rPr>
        <w:t>本部分研究内容已完成主对比实验，验证了GeoAirFormer模型的整体有效性，取得24小时预测MAE 7.82 μg/m³、R² 0.941的最优性能，为后续深化分析奠定了基础。</w:t>
      </w:r>
    </w:p>
    <w:p>
      <w:pPr>
        <w:pStyle w:val="Heading1"/>
      </w:pPr>
      <w:r>
        <w:rPr>
          <w:rFonts w:ascii="Times New Roman" w:hAnsi="Times New Roman" w:eastAsia="黑体"/>
          <w:b/>
          <w:sz w:val="36"/>
        </w:rPr>
        <w:t>5. 下一步计划与安排（含存在问题与解决方案）</w:t>
      </w:r>
    </w:p>
    <w:p>
      <w:pPr>
        <w:pStyle w:val="Heading2"/>
      </w:pPr>
      <w:r>
        <w:rPr>
          <w:rFonts w:ascii="Times New Roman" w:hAnsi="Times New Roman" w:eastAsia="黑体"/>
          <w:b/>
          <w:sz w:val="30"/>
        </w:rPr>
        <w:t>5.1 存在问题</w:t>
      </w:r>
    </w:p>
    <w:p>
      <w:pPr>
        <w:spacing w:after="0"/>
      </w:pPr>
      <w:r>
        <w:rPr>
          <w:rFonts w:ascii="Times New Roman" w:hAnsi="Times New Roman" w:eastAsia="宋体"/>
          <w:b w:val="0"/>
          <w:sz w:val="24"/>
        </w:rPr>
        <w:t>（1）</w:t>
      </w:r>
      <w:r>
        <w:rPr>
          <w:rFonts w:ascii="Times New Roman" w:hAnsi="Times New Roman" w:eastAsia="宋体"/>
          <w:b/>
          <w:sz w:val="24"/>
        </w:rPr>
        <w:t>算力约束</w:t>
      </w:r>
      <w:r>
        <w:rPr>
          <w:rFonts w:ascii="Times New Roman" w:hAnsi="Times New Roman" w:eastAsia="宋体"/>
          <w:b w:val="0"/>
          <w:sz w:val="24"/>
        </w:rPr>
        <w:t>：单张NVIDIA A100上单次训练约4.5小时，10个基线的对比实验与后续消融实验计算量较大，是制约实验进度的主要因素。</w:t>
      </w:r>
    </w:p>
    <w:p>
      <w:pPr>
        <w:spacing w:after="0"/>
      </w:pPr>
      <w:r>
        <w:rPr>
          <w:rFonts w:ascii="Times New Roman" w:hAnsi="Times New Roman" w:eastAsia="宋体"/>
          <w:b w:val="0"/>
          <w:sz w:val="24"/>
        </w:rPr>
        <w:t>（2）</w:t>
      </w:r>
      <w:r>
        <w:rPr>
          <w:rFonts w:ascii="Times New Roman" w:hAnsi="Times New Roman" w:eastAsia="宋体"/>
          <w:b/>
          <w:sz w:val="24"/>
        </w:rPr>
        <w:t>外源突发事件预测能力待验证</w:t>
      </w:r>
      <w:r>
        <w:rPr>
          <w:rFonts w:ascii="Times New Roman" w:hAnsi="Times New Roman" w:eastAsia="宋体"/>
          <w:b w:val="0"/>
          <w:sz w:val="24"/>
        </w:rPr>
        <w:t>：沙尘传输等突发性污染事件涉及高空传输通道，当前仅使用近地面气象数据，其预测能力有待后续案例实验验证。</w:t>
      </w:r>
    </w:p>
    <w:p>
      <w:pPr>
        <w:spacing w:after="0"/>
      </w:pPr>
      <w:r>
        <w:rPr>
          <w:rFonts w:ascii="Times New Roman" w:hAnsi="Times New Roman" w:eastAsia="宋体"/>
          <w:b w:val="0"/>
          <w:sz w:val="24"/>
        </w:rPr>
        <w:t>（3）</w:t>
      </w:r>
      <w:r>
        <w:rPr>
          <w:rFonts w:ascii="Times New Roman" w:hAnsi="Times New Roman" w:eastAsia="宋体"/>
          <w:b/>
          <w:sz w:val="24"/>
        </w:rPr>
        <w:t>地形信息利用不充分</w:t>
      </w:r>
      <w:r>
        <w:rPr>
          <w:rFonts w:ascii="Times New Roman" w:hAnsi="Times New Roman" w:eastAsia="宋体"/>
          <w:b w:val="0"/>
          <w:sz w:val="24"/>
        </w:rPr>
        <w:t>：当前地形邻接矩阵采用全连通矩阵替代，尚未利用太行山脉和燕山山脉对污染物扩散的阻隔效应。</w:t>
      </w:r>
    </w:p>
    <w:p>
      <w:pPr>
        <w:spacing w:after="0"/>
      </w:pPr>
      <w:r>
        <w:rPr>
          <w:rFonts w:ascii="Times New Roman" w:hAnsi="Times New Roman" w:eastAsia="宋体"/>
          <w:b w:val="0"/>
          <w:sz w:val="24"/>
        </w:rPr>
        <w:t>（4）</w:t>
      </w:r>
      <w:r>
        <w:rPr>
          <w:rFonts w:ascii="Times New Roman" w:hAnsi="Times New Roman" w:eastAsia="宋体"/>
          <w:b/>
          <w:sz w:val="24"/>
        </w:rPr>
        <w:t>模型可解释性不足</w:t>
      </w:r>
      <w:r>
        <w:rPr>
          <w:rFonts w:ascii="Times New Roman" w:hAnsi="Times New Roman" w:eastAsia="宋体"/>
          <w:b w:val="0"/>
          <w:sz w:val="24"/>
        </w:rPr>
        <w:t>：当前对注意力权重的分析主要停留在定性层面，缺乏定量特征归因。</w:t>
      </w:r>
    </w:p>
    <w:p>
      <w:pPr>
        <w:pStyle w:val="Heading2"/>
      </w:pPr>
      <w:r>
        <w:rPr>
          <w:rFonts w:ascii="Times New Roman" w:hAnsi="Times New Roman" w:eastAsia="黑体"/>
          <w:b/>
          <w:sz w:val="30"/>
        </w:rPr>
        <w:t>5.2 下一步计划与时间安排</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黑体"/>
                <w:b/>
                <w:sz w:val="21"/>
              </w:rPr>
              <w:t>时间</w:t>
            </w:r>
          </w:p>
        </w:tc>
        <w:tc>
          <w:tcPr>
            <w:tcW w:type="dxa" w:w="4320"/>
          </w:tcPr>
          <w:p>
            <w:r>
              <w:rPr>
                <w:rFonts w:ascii="Times New Roman" w:hAnsi="Times New Roman" w:eastAsia="黑体"/>
                <w:b/>
                <w:sz w:val="21"/>
              </w:rPr>
              <w:t>工作内容</w:t>
            </w:r>
          </w:p>
        </w:tc>
      </w:tr>
      <w:tr>
        <w:tc>
          <w:tcPr>
            <w:tcW w:type="dxa" w:w="4320"/>
          </w:tcPr>
          <w:p>
            <w:r>
              <w:rPr>
                <w:rFonts w:ascii="Times New Roman" w:hAnsi="Times New Roman" w:eastAsia="宋体"/>
                <w:b w:val="0"/>
                <w:sz w:val="21"/>
              </w:rPr>
              <w:t>2026年11月起</w:t>
            </w:r>
          </w:p>
        </w:tc>
        <w:tc>
          <w:tcPr>
            <w:tcW w:type="dxa" w:w="4320"/>
          </w:tcPr>
          <w:p>
            <w:r>
              <w:rPr>
                <w:rFonts w:ascii="Times New Roman" w:hAnsi="Times New Roman" w:eastAsia="宋体"/>
                <w:b w:val="0"/>
                <w:sz w:val="21"/>
              </w:rPr>
              <w:t>开展消融实验（逐个移除GSE-MSA、CrossAttn、MTL、自适应权重），验证各组件贡献；同步开展多步预测性能分析</w:t>
            </w:r>
          </w:p>
        </w:tc>
      </w:tr>
      <w:tr>
        <w:tc>
          <w:tcPr>
            <w:tcW w:type="dxa" w:w="4320"/>
          </w:tcPr>
          <w:p>
            <w:r>
              <w:rPr>
                <w:rFonts w:ascii="Times New Roman" w:hAnsi="Times New Roman" w:eastAsia="宋体"/>
                <w:b w:val="0"/>
                <w:sz w:val="21"/>
              </w:rPr>
              <w:t>2026年12月</w:t>
            </w:r>
          </w:p>
        </w:tc>
        <w:tc>
          <w:tcPr>
            <w:tcW w:type="dxa" w:w="4320"/>
          </w:tcPr>
          <w:p>
            <w:r>
              <w:rPr>
                <w:rFonts w:ascii="Times New Roman" w:hAnsi="Times New Roman" w:eastAsia="宋体"/>
                <w:b w:val="0"/>
                <w:sz w:val="21"/>
              </w:rPr>
              <w:t>开展季节性与空间预测性能分析；开展典型污染事件案例分析</w:t>
            </w:r>
          </w:p>
        </w:tc>
      </w:tr>
      <w:tr>
        <w:tc>
          <w:tcPr>
            <w:tcW w:type="dxa" w:w="4320"/>
          </w:tcPr>
          <w:p>
            <w:r>
              <w:rPr>
                <w:rFonts w:ascii="Times New Roman" w:hAnsi="Times New Roman" w:eastAsia="宋体"/>
                <w:b w:val="0"/>
                <w:sz w:val="21"/>
              </w:rPr>
              <w:t>2027年1–2月</w:t>
            </w:r>
          </w:p>
        </w:tc>
        <w:tc>
          <w:tcPr>
            <w:tcW w:type="dxa" w:w="4320"/>
          </w:tcPr>
          <w:p>
            <w:r>
              <w:rPr>
                <w:rFonts w:ascii="Times New Roman" w:hAnsi="Times New Roman" w:eastAsia="宋体"/>
                <w:b w:val="0"/>
                <w:sz w:val="21"/>
              </w:rPr>
              <w:t>完成论文补充完善、图表优化与参考文献整理</w:t>
            </w:r>
          </w:p>
        </w:tc>
      </w:tr>
      <w:tr>
        <w:tc>
          <w:tcPr>
            <w:tcW w:type="dxa" w:w="4320"/>
          </w:tcPr>
          <w:p>
            <w:r>
              <w:rPr>
                <w:rFonts w:ascii="Times New Roman" w:hAnsi="Times New Roman" w:eastAsia="宋体"/>
                <w:b w:val="0"/>
                <w:sz w:val="21"/>
              </w:rPr>
              <w:t>2027年3月</w:t>
            </w:r>
          </w:p>
        </w:tc>
        <w:tc>
          <w:tcPr>
            <w:tcW w:type="dxa" w:w="4320"/>
          </w:tcPr>
          <w:p>
            <w:r>
              <w:rPr>
                <w:rFonts w:ascii="Times New Roman" w:hAnsi="Times New Roman" w:eastAsia="宋体"/>
                <w:b w:val="0"/>
                <w:sz w:val="21"/>
              </w:rPr>
              <w:t>完成论文定稿与提交</w:t>
            </w:r>
          </w:p>
        </w:tc>
      </w:tr>
    </w:tbl>
    <w:p>
      <w:pPr>
        <w:pStyle w:val="Heading2"/>
      </w:pPr>
      <w:r>
        <w:rPr>
          <w:rFonts w:ascii="Times New Roman" w:hAnsi="Times New Roman" w:eastAsia="黑体"/>
          <w:b/>
          <w:sz w:val="30"/>
        </w:rPr>
        <w:t>5.3 解决方案</w:t>
      </w:r>
    </w:p>
    <w:p>
      <w:pPr>
        <w:spacing w:after="0"/>
      </w:pPr>
      <w:r>
        <w:rPr>
          <w:rFonts w:ascii="Times New Roman" w:hAnsi="Times New Roman" w:eastAsia="宋体"/>
          <w:b w:val="0"/>
          <w:sz w:val="24"/>
        </w:rPr>
        <w:t>针对算力约束问题，拟通过优化训练策略（如早停、混合精度训练）与合理调度GPU资源缓解；针对外源突发事件与地形信息问题，拟引入高空气象再分析数据、卫星AOD数据与高分辨率DEM数据改进模型；针对可解释性问题，拟引入SHAP等模型无关的可解释性方法开展定量归因。</w:t>
      </w:r>
    </w:p>
    <w:p>
      <w:pPr>
        <w:pStyle w:val="Heading1"/>
      </w:pPr>
      <w:r>
        <w:rPr>
          <w:rFonts w:ascii="Times New Roman" w:hAnsi="Times New Roman" w:eastAsia="黑体"/>
          <w:b/>
          <w:sz w:val="36"/>
        </w:rPr>
        <w:t>参考文献</w:t>
      </w:r>
    </w:p>
    <w:p>
      <w:pPr>
        <w:spacing w:after="0"/>
      </w:pPr>
      <w:r>
        <w:rPr>
          <w:rFonts w:ascii="Times New Roman" w:hAnsi="Times New Roman" w:eastAsia="宋体"/>
          <w:b w:val="0"/>
          <w:sz w:val="24"/>
        </w:rPr>
        <w:t>[1] Cohen A J, Brauer M, Burnett R, et al. Estimates and 25-year trends of the global burden of disease attributable to ambient air pollution: an analysis of data from the Global Burden of Diseases Study 2015[J]. The Lancet, 2017, 389(10082): 1907-1918.</w:t>
      </w:r>
    </w:p>
    <w:p>
      <w:pPr>
        <w:spacing w:after="0"/>
      </w:pPr>
      <w:r>
        <w:rPr>
          <w:rFonts w:ascii="Times New Roman" w:hAnsi="Times New Roman" w:eastAsia="宋体"/>
          <w:b w:val="0"/>
          <w:sz w:val="24"/>
        </w:rPr>
        <w:t>[2] Burnett R, Chen H, Szyszkowicz M, et al. Global estimates of mortality associated with long-term exposure to outdoor fine particulate matter[J]. Proceedings of the National Academy of Sciences, 2018, 115(38): 9592-9597.</w:t>
      </w:r>
    </w:p>
    <w:p>
      <w:pPr>
        <w:spacing w:after="0"/>
      </w:pPr>
      <w:r>
        <w:rPr>
          <w:rFonts w:ascii="Times New Roman" w:hAnsi="Times New Roman" w:eastAsia="宋体"/>
          <w:b w:val="0"/>
          <w:sz w:val="24"/>
        </w:rPr>
        <w:t>[3] World Health Organization. WHO global air quality guidelines: particulate matter (PM2.5 and PM10), ozone, nitrogen dioxide, sulfur dioxide and carbon monoxide[R]. Geneva: World Health Organization, 2021.</w:t>
      </w:r>
    </w:p>
    <w:p>
      <w:pPr>
        <w:spacing w:after="0"/>
      </w:pPr>
      <w:r>
        <w:rPr>
          <w:rFonts w:ascii="Times New Roman" w:hAnsi="Times New Roman" w:eastAsia="宋体"/>
          <w:b w:val="0"/>
          <w:sz w:val="24"/>
        </w:rPr>
        <w:t>[4] Huang R J, Zhang Y L, Bozzetti C, et al. High secondary aerosol contribution to particulate pollution during haze events in China[J]. Nature, 2014, 514(7521): 218-222.</w:t>
      </w:r>
    </w:p>
    <w:p>
      <w:pPr>
        <w:spacing w:after="0"/>
      </w:pPr>
      <w:r>
        <w:rPr>
          <w:rFonts w:ascii="Times New Roman" w:hAnsi="Times New Roman" w:eastAsia="宋体"/>
          <w:b w:val="0"/>
          <w:sz w:val="24"/>
        </w:rPr>
        <w:t>[5] Zhang Q, Zheng Y X, Tong D, et al. Drivers of improved PM2.5 air quality in China from 2013 to 2017[J]. Proceedings of the National Academy of Sciences, 2019, 116(49): 24463-24469.</w:t>
      </w:r>
    </w:p>
    <w:p>
      <w:pPr>
        <w:spacing w:after="0"/>
      </w:pPr>
      <w:r>
        <w:rPr>
          <w:rFonts w:ascii="Times New Roman" w:hAnsi="Times New Roman" w:eastAsia="宋体"/>
          <w:b w:val="0"/>
          <w:sz w:val="24"/>
        </w:rPr>
        <w:t>[6] 中华人民共和国生态环境部. 2023 年中国生态环境状况公报[R]. 北京: 生态环境部, 2024.</w:t>
      </w:r>
    </w:p>
    <w:p>
      <w:pPr>
        <w:spacing w:after="0"/>
      </w:pPr>
      <w:r>
        <w:rPr>
          <w:rFonts w:ascii="Times New Roman" w:hAnsi="Times New Roman" w:eastAsia="宋体"/>
          <w:b w:val="0"/>
          <w:sz w:val="24"/>
        </w:rPr>
        <w:t>[7] Wang Y S, Yao L, Wang L L, et al. Haze in China: current and future challenges[J]. Environmental Pollution, 2014, 189: 85-86.</w:t>
      </w:r>
    </w:p>
    <w:p>
      <w:pPr>
        <w:spacing w:after="0"/>
      </w:pPr>
      <w:r>
        <w:rPr>
          <w:rFonts w:ascii="Times New Roman" w:hAnsi="Times New Roman" w:eastAsia="宋体"/>
          <w:b w:val="0"/>
          <w:sz w:val="24"/>
        </w:rPr>
        <w:t>[8] Wu J, Bei N F, Li X, et al. Regional transport of PM2.5 during a typical heavy haze episode in the Beijing-Tianjin-Hebei region[J]. Science of the Total Environment, 2020, 734: 139449.</w:t>
      </w:r>
    </w:p>
    <w:p>
      <w:pPr>
        <w:spacing w:after="0"/>
      </w:pPr>
      <w:r>
        <w:rPr>
          <w:rFonts w:ascii="Times New Roman" w:hAnsi="Times New Roman" w:eastAsia="宋体"/>
          <w:b w:val="0"/>
          <w:sz w:val="24"/>
        </w:rPr>
        <w:t>[9] Box G E P, Jenkins G M, Reinsel G C, et al. Time Series Analysis: Forecasting and Control[M]. 5th ed. Hoboken: John Wiley &amp; Sons, 2015.</w:t>
      </w:r>
    </w:p>
    <w:p>
      <w:pPr>
        <w:spacing w:after="0"/>
      </w:pPr>
      <w:r>
        <w:rPr>
          <w:rFonts w:ascii="Times New Roman" w:hAnsi="Times New Roman" w:eastAsia="宋体"/>
          <w:b w:val="0"/>
          <w:sz w:val="24"/>
        </w:rPr>
        <w:t>[10] Byun D, Schere K L. Review of the governing equations, computational algorithms, and other components of the Models-3 Community Multiscale Air Quality (CMAQ) modeling system[J]. Applied Mechanics Reviews, 2006, 59(2): 51-77.</w:t>
      </w:r>
    </w:p>
    <w:p>
      <w:pPr>
        <w:spacing w:after="0"/>
      </w:pPr>
      <w:r>
        <w:rPr>
          <w:rFonts w:ascii="Times New Roman" w:hAnsi="Times New Roman" w:eastAsia="宋体"/>
          <w:b w:val="0"/>
          <w:sz w:val="24"/>
        </w:rPr>
        <w:t>[11] Li X, Peng L, Hu Y, et al. Long short-term memory neural network for air pollutant concentration predictions: method development and evaluation[J]. Environmental Pollution, 2017, 231: 997-1004.</w:t>
      </w:r>
    </w:p>
    <w:p>
      <w:pPr>
        <w:spacing w:after="0"/>
      </w:pPr>
      <w:r>
        <w:rPr>
          <w:rFonts w:ascii="Times New Roman" w:hAnsi="Times New Roman" w:eastAsia="宋体"/>
          <w:b w:val="0"/>
          <w:sz w:val="24"/>
        </w:rPr>
        <w:t>[12] Li Y G, Yu R, Shahabi C, et al. Diffusion convolutional recurrent neural network: data-driven traﬀic forecasting[C]// Proceedings of the 6th International Conference on Learning Representations (ICLR). Vancouver: OpenReview.net, 2018: 1-16.</w:t>
      </w:r>
    </w:p>
    <w:p>
      <w:pPr>
        <w:spacing w:after="0"/>
      </w:pPr>
      <w:r>
        <w:rPr>
          <w:rFonts w:ascii="Times New Roman" w:hAnsi="Times New Roman" w:eastAsia="宋体"/>
          <w:b w:val="0"/>
          <w:sz w:val="24"/>
        </w:rPr>
        <w:t>[13] Yu B, Yin H T, Zhu Z X. Spatio-temporal graph convolutional networks: a deep learning framework for traﬀic flow forecasting[C]// Proceedings of the 27th International Joint Conference on Artificial Intelligence (IJCAI). Stockholm: IJCAI Organization, 2018: 3634-3640.</w:t>
      </w:r>
    </w:p>
    <w:p>
      <w:pPr>
        <w:spacing w:after="0"/>
      </w:pPr>
      <w:r>
        <w:rPr>
          <w:rFonts w:ascii="Times New Roman" w:hAnsi="Times New Roman" w:eastAsia="宋体"/>
          <w:b w:val="0"/>
          <w:sz w:val="24"/>
        </w:rPr>
        <w:t>[14] Wu Z H, Pan S R, Long G D, et al. Graph WaveNet for deep spatial-temporal graph modeling[C]// Proceedings of the 28th International Joint Conference on Artificial Intelligence (IJCAI). Macao: IJCAI Organization, 2019: 1907-1913.</w:t>
      </w:r>
    </w:p>
    <w:p>
      <w:pPr>
        <w:spacing w:after="0"/>
      </w:pPr>
      <w:r>
        <w:rPr>
          <w:rFonts w:ascii="Times New Roman" w:hAnsi="Times New Roman" w:eastAsia="宋体"/>
          <w:b w:val="0"/>
          <w:sz w:val="24"/>
        </w:rPr>
        <w:t>[15] Vaswani A, Shazeer N, Parmar N, et al. Attention is all you need[C]// Advances in Neural Information Processing Systems 30 (NeurIPS). Long Beach: Curran Associates, 2017: 5998-6008.</w:t>
      </w:r>
    </w:p>
    <w:p>
      <w:pPr>
        <w:spacing w:after="0"/>
      </w:pPr>
      <w:r>
        <w:rPr>
          <w:rFonts w:ascii="Times New Roman" w:hAnsi="Times New Roman" w:eastAsia="宋体"/>
          <w:b w:val="0"/>
          <w:sz w:val="24"/>
        </w:rPr>
        <w:t>[16] Liang Y X, Xia Y T, Ke S Y, et al. AirFormer: predicting nationwide air quality in China with transformers[C]// Proceedings of the 37th AAAI Conference on Artificial Intelligence (AAAI). Washington D.C.: AAAI Press, 2023, 37(4): 14329-14337.</w:t>
      </w:r>
    </w:p>
    <w:p>
      <w:pPr>
        <w:spacing w:after="0"/>
      </w:pPr>
      <w:r>
        <w:rPr>
          <w:rFonts w:ascii="Times New Roman" w:hAnsi="Times New Roman" w:eastAsia="宋体"/>
          <w:b w:val="0"/>
          <w:sz w:val="24"/>
        </w:rPr>
        <w:t>[17] Wang S, Hao J. Air quality management in China: Issues, challenges, and options[J]. Journal of Environmental Sciences, 2012, 24(1): 2-13.</w:t>
      </w:r>
    </w:p>
    <w:p>
      <w:pPr>
        <w:spacing w:after="0"/>
      </w:pPr>
      <w:r>
        <w:rPr>
          <w:rFonts w:ascii="Times New Roman" w:hAnsi="Times New Roman" w:eastAsia="宋体"/>
          <w:b w:val="0"/>
          <w:sz w:val="24"/>
        </w:rPr>
        <w:t>[18] Xie Y, Zhao B, Zhang L, et al. Health impact and monetary cost of exposure to ambient PM2.5 in China[J]. Atmospheric Environment, 2011, 45(32): 5846-5852.</w:t>
      </w:r>
    </w:p>
    <w:p>
      <w:pPr>
        <w:spacing w:after="0"/>
      </w:pPr>
      <w:r>
        <w:rPr>
          <w:rFonts w:ascii="Times New Roman" w:hAnsi="Times New Roman" w:eastAsia="宋体"/>
          <w:b w:val="0"/>
          <w:sz w:val="24"/>
        </w:rPr>
        <w:t>[19] Dong Z, Wang S, Zhang Y, et al. Health impacts of short-term exposure to PM2.5 in China: A systematic review and meta-analysis[J]. Environmental Research, 2024, 241: 117601.</w:t>
      </w:r>
    </w:p>
    <w:p>
      <w:pPr>
        <w:spacing w:after="0"/>
      </w:pPr>
      <w:r>
        <w:rPr>
          <w:rFonts w:ascii="Times New Roman" w:hAnsi="Times New Roman" w:eastAsia="宋体"/>
          <w:b w:val="0"/>
          <w:sz w:val="24"/>
        </w:rPr>
        <w:t>[20] Song C, Wu L, Xie Y, et al. Air pollution in China: Status and spatiotemporal variations[J]. Environmental Pollution, 2017, 227: 334-347.</w:t>
      </w:r>
    </w:p>
    <w:p>
      <w:pPr>
        <w:spacing w:after="0"/>
      </w:pPr>
      <w:r>
        <w:rPr>
          <w:rFonts w:ascii="Times New Roman" w:hAnsi="Times New Roman" w:eastAsia="宋体"/>
          <w:b w:val="0"/>
          <w:sz w:val="24"/>
        </w:rPr>
        <w:t>[21] 杨素英, 孙凤华, 马建中. 太原市PM2.5 质量浓度与气象条件的关系[J]. 气象与环境学报, 2018, 34(2): 59-65.</w:t>
      </w:r>
    </w:p>
    <w:p>
      <w:pPr>
        <w:spacing w:after="0"/>
      </w:pPr>
      <w:r>
        <w:rPr>
          <w:rFonts w:ascii="Times New Roman" w:hAnsi="Times New Roman" w:eastAsia="宋体"/>
          <w:b w:val="0"/>
          <w:sz w:val="24"/>
        </w:rPr>
        <w:t>[22] 郝吉明, 王书肖, 陆克定, 等. 京津冀大气复合污染及控制策略思考[J]. 中国科学院院刊, 2018, 33(10): 1132-1139.</w:t>
      </w:r>
    </w:p>
    <w:p>
      <w:pPr>
        <w:spacing w:after="0"/>
      </w:pPr>
      <w:r>
        <w:rPr>
          <w:rFonts w:ascii="Times New Roman" w:hAnsi="Times New Roman" w:eastAsia="宋体"/>
          <w:b w:val="0"/>
          <w:sz w:val="24"/>
        </w:rPr>
        <w:t>[23] 陈仁杰, 阚海东. 中国城市大气PM2.5 与居民健康风险评估[J]. 中国环境科学, 2015, 35(12): 3795-3802.</w:t>
      </w:r>
    </w:p>
    <w:p>
      <w:pPr>
        <w:spacing w:after="0"/>
      </w:pPr>
      <w:r>
        <w:rPr>
          <w:rFonts w:ascii="Times New Roman" w:hAnsi="Times New Roman" w:eastAsia="宋体"/>
          <w:b w:val="0"/>
          <w:sz w:val="24"/>
        </w:rPr>
        <w:t>[24] 贺克斌, 杨复沫, 段凤魁, 等. 北京大气颗粒物污染的区域性特征研究[J]. 环境科学学报, 2009, 29(3): 482-487.</w:t>
      </w:r>
    </w:p>
    <w:p>
      <w:pPr>
        <w:spacing w:after="0"/>
      </w:pPr>
      <w:r>
        <w:rPr>
          <w:rFonts w:ascii="Times New Roman" w:hAnsi="Times New Roman" w:eastAsia="宋体"/>
          <w:b w:val="0"/>
          <w:sz w:val="24"/>
        </w:rPr>
        <w:t>[25] 李珊珊, 程念亮, 王自发, 等. 2014 年10 月北京市空气重污染过程分析[J]. 环境科学学报, 2016, 36(7): 2347-2357.</w:t>
      </w:r>
    </w:p>
    <w:p>
      <w:pPr>
        <w:spacing w:after="0"/>
      </w:pPr>
      <w:r>
        <w:rPr>
          <w:rFonts w:ascii="Times New Roman" w:hAnsi="Times New Roman" w:eastAsia="宋体"/>
          <w:b w:val="0"/>
          <w:sz w:val="24"/>
        </w:rPr>
        <w:t>[26] 郎凤玲, 王英, 赵习方, 等. 北京市颗粒物数浓度与气象条件的相关性分析[J]. 环境科学, 2013, 34(1): 19-25.</w:t>
      </w:r>
    </w:p>
    <w:p>
      <w:pPr>
        <w:spacing w:after="0"/>
      </w:pPr>
      <w:r>
        <w:rPr>
          <w:rFonts w:ascii="Times New Roman" w:hAnsi="Times New Roman" w:eastAsia="宋体"/>
          <w:b w:val="0"/>
          <w:sz w:val="24"/>
        </w:rPr>
        <w:t>[27] 王淑兰, 柴发合, 张远航, 等. 珠江三角洲城市间空气污染的相互影响[J]. 中国环境科学, 2005, 25(2): 133-137.</w:t>
      </w:r>
    </w:p>
    <w:p>
      <w:pPr>
        <w:spacing w:after="0"/>
      </w:pPr>
      <w:r>
        <w:rPr>
          <w:rFonts w:ascii="Times New Roman" w:hAnsi="Times New Roman" w:eastAsia="宋体"/>
          <w:b w:val="0"/>
          <w:sz w:val="24"/>
        </w:rPr>
        <w:t>[28] 李小飞, 张明军, 王圣杰, 等. 中国42 个城市大气污染状况分析[J]. 干旱区资源与环境, 2012, 26(9): 1-6.</w:t>
      </w:r>
    </w:p>
    <w:p>
      <w:pPr>
        <w:spacing w:after="0"/>
      </w:pPr>
      <w:r>
        <w:rPr>
          <w:rFonts w:ascii="Times New Roman" w:hAnsi="Times New Roman" w:eastAsia="宋体"/>
          <w:b w:val="0"/>
          <w:sz w:val="24"/>
        </w:rPr>
        <w:t>[29] Zheng Y, Liu F, Hsieh H P. U-Air: When urban air quality inference meets big data[C]// Proceedings of the 19th ACM SIGKDD International Conference on Knowledge Discovery and Data Mining, 2013: 1436-1444.</w:t>
      </w:r>
    </w:p>
    <w:p>
      <w:pPr>
        <w:spacing w:after="0"/>
      </w:pPr>
      <w:r>
        <w:rPr>
          <w:rFonts w:ascii="Times New Roman" w:hAnsi="Times New Roman" w:eastAsia="宋体"/>
          <w:b w:val="0"/>
          <w:sz w:val="24"/>
        </w:rPr>
        <w:t>[30] Rumelhart D E, Hinton G E, Williams R J. Learning representations by backpropagating errors[J]. Nature, 1986, 323(6088): 533-536.</w:t>
      </w:r>
    </w:p>
    <w:p>
      <w:pPr>
        <w:spacing w:after="0"/>
      </w:pPr>
      <w:r>
        <w:rPr>
          <w:rFonts w:ascii="Times New Roman" w:hAnsi="Times New Roman" w:eastAsia="宋体"/>
          <w:b w:val="0"/>
          <w:sz w:val="24"/>
        </w:rPr>
        <w:t>[31] Bengio Y, Simard P, Frasconi P. Learning long-term dependencies with gradient descent is diﬀicult[J]. IEEE Transactions on Neural Networks, 1994, 5(2): 157-166.</w:t>
      </w:r>
    </w:p>
    <w:p>
      <w:pPr>
        <w:spacing w:after="0"/>
      </w:pPr>
      <w:r>
        <w:rPr>
          <w:rFonts w:ascii="Times New Roman" w:hAnsi="Times New Roman" w:eastAsia="宋体"/>
          <w:b w:val="0"/>
          <w:sz w:val="24"/>
        </w:rPr>
        <w:t>[32] Hochreiter S, Schmidhuber J. Long short-term memory[J]. Neural Computation, 1997, 9(8): 1735-1780.</w:t>
      </w:r>
    </w:p>
    <w:p>
      <w:pPr>
        <w:spacing w:after="0"/>
      </w:pPr>
      <w:r>
        <w:rPr>
          <w:rFonts w:ascii="Times New Roman" w:hAnsi="Times New Roman" w:eastAsia="宋体"/>
          <w:b w:val="0"/>
          <w:sz w:val="24"/>
        </w:rPr>
        <w:t>[33] Gers F A, Schmidhuber J, Cummins F. Learning to forget: continual prediction with LSTM[J]. Neural Computation, 2000, 12(10): 2451-2471.</w:t>
      </w:r>
    </w:p>
    <w:p>
      <w:pPr>
        <w:spacing w:after="0"/>
      </w:pPr>
      <w:r>
        <w:rPr>
          <w:rFonts w:ascii="Times New Roman" w:hAnsi="Times New Roman" w:eastAsia="宋体"/>
          <w:b w:val="0"/>
          <w:sz w:val="24"/>
        </w:rPr>
        <w:t>[34] Cho K, Van Merriënboer B, Gulcehre C, et al. Learning phrase representations using RNN encoder-decoder for statistical machine translation[C]// Proceedings of the 2014 Conference on Empirical Methods in Natural Language Processing (EMNLP). Doha: Association for Computational Linguistics, 2014: 1724-1734.</w:t>
      </w:r>
    </w:p>
    <w:p>
      <w:pPr>
        <w:spacing w:after="0"/>
      </w:pPr>
      <w:r>
        <w:rPr>
          <w:rFonts w:ascii="Times New Roman" w:hAnsi="Times New Roman" w:eastAsia="宋体"/>
          <w:b w:val="0"/>
          <w:sz w:val="24"/>
        </w:rPr>
        <w:t>[35] Chung J, Gulcehre C, Cho K, et al. Empirical evaluation of gated recurrent neural networks on sequence modeling[C]// Proceedings of the NIPS 2014 Workshop on Deep Learning. Montreal: NIPS Foundation, 2014: 1-9.</w:t>
      </w:r>
    </w:p>
    <w:p>
      <w:pPr>
        <w:spacing w:after="0"/>
      </w:pPr>
      <w:r>
        <w:rPr>
          <w:rFonts w:ascii="Times New Roman" w:hAnsi="Times New Roman" w:eastAsia="宋体"/>
          <w:b w:val="0"/>
          <w:sz w:val="24"/>
        </w:rPr>
        <w:t>[36] Khandelwal U, He H, Qi P, et al. Sharp nearby, fuzzy far away: how neural language models use context[C]// Proceedings of the 56th Annual Meeting of the Association for Computational Linguistics (ACL). Melbourne: Association for Computational Linguistics, 2018: 284-294.</w:t>
      </w:r>
    </w:p>
    <w:p>
      <w:pPr>
        <w:spacing w:after="0"/>
      </w:pPr>
      <w:r>
        <w:rPr>
          <w:rFonts w:ascii="Times New Roman" w:hAnsi="Times New Roman" w:eastAsia="宋体"/>
          <w:b w:val="0"/>
          <w:sz w:val="24"/>
        </w:rPr>
        <w:t>[37] He K, Zhang X, Ren S, et al. Deep residual learning for image recognition[C]// Proceedings of the IEEE Conference on Computer Vision and Pattern Recognition (CVPR). Las Vegas: IEEE, 2016: 770-778.</w:t>
      </w:r>
    </w:p>
    <w:p>
      <w:pPr>
        <w:spacing w:after="0"/>
      </w:pPr>
      <w:r>
        <w:rPr>
          <w:rFonts w:ascii="Times New Roman" w:hAnsi="Times New Roman" w:eastAsia="宋体"/>
          <w:b w:val="0"/>
          <w:sz w:val="24"/>
        </w:rPr>
        <w:t>[38] Devlin J, Chang M W, Lee K, et al. BERT: pre-training of deep bidirectional transformers for language understanding[C]// Proceedings of the 2019 Conference of the North American Chapter of the Association for Computational Linguistics (NAACL). Minneapolis: Association for Computational Linguistics, 2019: 4171-4186.</w:t>
      </w:r>
    </w:p>
    <w:p>
      <w:pPr>
        <w:spacing w:after="0"/>
      </w:pPr>
      <w:r>
        <w:rPr>
          <w:rFonts w:ascii="Times New Roman" w:hAnsi="Times New Roman" w:eastAsia="宋体"/>
          <w:b w:val="0"/>
          <w:sz w:val="24"/>
        </w:rPr>
        <w:t>[39] Dosovitskiy A, Beyer L, Kolesnikov A, et al. An image is worth 16x16 words: transformers for image recognition at scale[C]// Proceedings of the 9th International Conference on Learning Representations (ICLR). Virtual: OpenReview.net, 2021: 1-21.</w:t>
      </w:r>
    </w:p>
    <w:p>
      <w:pPr>
        <w:spacing w:after="0"/>
      </w:pPr>
      <w:r>
        <w:rPr>
          <w:rFonts w:ascii="Times New Roman" w:hAnsi="Times New Roman" w:eastAsia="宋体"/>
          <w:b w:val="0"/>
          <w:sz w:val="24"/>
        </w:rPr>
        <w:t>[40] Zhou H, Zhang S, Peng J, et al. Informer: beyond eﬀicient transformer for long sequence time-series forecasting[C]// Proceedings of the 35th AAAI Conference on Artificial Intelligence (AAAI). Virtual: AAAI Press, 2021: 11106-11115.</w:t>
      </w:r>
    </w:p>
    <w:p>
      <w:pPr>
        <w:spacing w:after="0"/>
      </w:pPr>
      <w:r>
        <w:rPr>
          <w:rFonts w:ascii="Times New Roman" w:hAnsi="Times New Roman" w:eastAsia="宋体"/>
          <w:b w:val="0"/>
          <w:sz w:val="24"/>
        </w:rPr>
        <w:t>[41] Wang S, Li B Z, Khabsa M, et al. Linformer: self-attention with linear complexity[J]. arXiv preprint arXiv:2006.04768, 2020.</w:t>
      </w:r>
    </w:p>
    <w:p>
      <w:pPr>
        <w:spacing w:after="0"/>
      </w:pPr>
      <w:r>
        <w:rPr>
          <w:rFonts w:ascii="Times New Roman" w:hAnsi="Times New Roman" w:eastAsia="宋体"/>
          <w:b w:val="0"/>
          <w:sz w:val="24"/>
        </w:rPr>
        <w:t>[42] Choromanski K M, Likhosherstov V, Dohan D, et al. Rethinking attention with Performers[C]// Proceedings of the 9th International Conference on Learning Representations (ICLR). Virtual: OpenReview.net, 2021: 1-22.</w:t>
      </w:r>
    </w:p>
    <w:p>
      <w:pPr>
        <w:spacing w:after="0"/>
      </w:pPr>
      <w:r>
        <w:rPr>
          <w:rFonts w:ascii="Times New Roman" w:hAnsi="Times New Roman" w:eastAsia="宋体"/>
          <w:b w:val="0"/>
          <w:sz w:val="24"/>
        </w:rPr>
        <w:t>[43] Xiong R, Yang Y, He J, et al. On layer normalization in the Transformer architecture[C]// Proceedings of the 37th International Conference on Machine Learning (ICML). Virtual: PMLR, 2020: 10524-10533.</w:t>
      </w:r>
    </w:p>
    <w:p>
      <w:pPr>
        <w:spacing w:after="0"/>
      </w:pPr>
      <w:r>
        <w:rPr>
          <w:rFonts w:ascii="Times New Roman" w:hAnsi="Times New Roman" w:eastAsia="宋体"/>
          <w:b w:val="0"/>
          <w:sz w:val="24"/>
        </w:rPr>
        <w:t>[44] Shuman D I, Narang S K, Frossard P, et al. The emerging field of signal processing on graphs: extending high-dimensional data analysis to networks and other irregular domains[J]. IEEE Signal Processing Magazine, 2013, 30(3): 83-98.</w:t>
      </w:r>
    </w:p>
    <w:p>
      <w:pPr>
        <w:spacing w:after="0"/>
      </w:pPr>
      <w:r>
        <w:rPr>
          <w:rFonts w:ascii="Times New Roman" w:hAnsi="Times New Roman" w:eastAsia="宋体"/>
          <w:b w:val="0"/>
          <w:sz w:val="24"/>
        </w:rPr>
        <w:t>[45] Hammond D K, Vandergheynst P, Gribonval R. Wavelets on graphs via spectral graph theory[J]. Applied and Computational Harmonic Analysis, 2011, 30(2): 129-150.</w:t>
      </w:r>
    </w:p>
    <w:p>
      <w:pPr>
        <w:spacing w:after="0"/>
      </w:pPr>
      <w:r>
        <w:rPr>
          <w:rFonts w:ascii="Times New Roman" w:hAnsi="Times New Roman" w:eastAsia="宋体"/>
          <w:b w:val="0"/>
          <w:sz w:val="24"/>
        </w:rPr>
        <w:t>[46] Defferrard M, Bresson X, Vandergheynst P. Convolutional neural networks on graphs with fast localized spectral filtering[C]// Advances in Neural Information Processing Systems 29 (NeurIPS). Barcelona: Curran Associates, 2016: 3844-3852.</w:t>
      </w:r>
    </w:p>
    <w:p>
      <w:pPr>
        <w:spacing w:after="0"/>
      </w:pPr>
      <w:r>
        <w:rPr>
          <w:rFonts w:ascii="Times New Roman" w:hAnsi="Times New Roman" w:eastAsia="宋体"/>
          <w:b w:val="0"/>
          <w:sz w:val="24"/>
        </w:rPr>
        <w:t>[47] Kipf T N, Welling M. Semi-supervised classification with graph convolutional networks[C]// Proceedings of the 5th International Conference on Learning Representations (ICLR). Toulon: OpenReview.net, 2017: 1-14.</w:t>
      </w:r>
    </w:p>
    <w:p>
      <w:pPr>
        <w:spacing w:after="0"/>
      </w:pPr>
      <w:r>
        <w:rPr>
          <w:rFonts w:ascii="Times New Roman" w:hAnsi="Times New Roman" w:eastAsia="宋体"/>
          <w:b w:val="0"/>
          <w:sz w:val="24"/>
        </w:rPr>
        <w:t>[48] Gilmer J, Schoenholz S S, Riley P F, et al. Neural message passing for quantum chemistry[C]// Proceedings of the 34th International Conference on Machine Learning (ICML). Sydney: PMLR, 2017: 1263-1272.</w:t>
      </w:r>
    </w:p>
    <w:p>
      <w:pPr>
        <w:spacing w:after="0"/>
      </w:pPr>
      <w:r>
        <w:rPr>
          <w:rFonts w:ascii="Times New Roman" w:hAnsi="Times New Roman" w:eastAsia="宋体"/>
          <w:b w:val="0"/>
          <w:sz w:val="24"/>
        </w:rPr>
        <w:t>[49] Li Q, Han Z, Wu X M. Deeper insights into graph convolutional networks for semi-supervised learning[C]// Proceedings of the 32nd AAAI Conference on Artificial Intelligence (AAAI). New Orleans: AAAI Press, 2018: 3538-3545.</w:t>
      </w:r>
    </w:p>
    <w:p>
      <w:pPr>
        <w:spacing w:after="0"/>
      </w:pPr>
      <w:r>
        <w:rPr>
          <w:rFonts w:ascii="Times New Roman" w:hAnsi="Times New Roman" w:eastAsia="宋体"/>
          <w:b w:val="0"/>
          <w:sz w:val="24"/>
        </w:rPr>
        <w:t>[50] Veličković P, Cucurull G, Casanova A, et al. Graph attention networks[J]. arXiv preprint arXiv:1710.10903, 2017.</w:t>
      </w:r>
    </w:p>
    <w:p>
      <w:pPr>
        <w:spacing w:after="0"/>
      </w:pPr>
      <w:r>
        <w:rPr>
          <w:rFonts w:ascii="Times New Roman" w:hAnsi="Times New Roman" w:eastAsia="宋体"/>
          <w:b w:val="0"/>
          <w:sz w:val="24"/>
        </w:rPr>
        <w:t>[51] Radford A, Narasimhan K, Salimans T, et al. Improving language understanding by generative pre-training[R]. San Francisco: OpenAI, 2018.</w:t>
      </w:r>
    </w:p>
    <w:p>
      <w:pPr>
        <w:spacing w:after="0"/>
      </w:pPr>
      <w:r>
        <w:rPr>
          <w:rFonts w:ascii="Times New Roman" w:hAnsi="Times New Roman" w:eastAsia="宋体"/>
          <w:b w:val="0"/>
          <w:sz w:val="24"/>
        </w:rPr>
        <w:t>[52] Van den Oord A, Dieleman S, Zen H, et al. WaveNet: a generative model for raw audio[C]// Proceedings of the 9th ISCA Speech Synthesis Workshop. Sunnyvale: ISCA, 2016: 125.</w:t>
      </w:r>
    </w:p>
    <w:p>
      <w:pPr>
        <w:spacing w:after="0"/>
      </w:pPr>
      <w:r>
        <w:rPr>
          <w:rFonts w:ascii="Times New Roman" w:hAnsi="Times New Roman" w:eastAsia="宋体"/>
          <w:b w:val="0"/>
          <w:sz w:val="24"/>
        </w:rPr>
        <w:t>[53] Kingma D P, Welling M. Auto-encoding variational Bayes[C]// Proceedings of the 2nd International Conference on Learning Representations (ICLR). Banff: OpenReview.net, 2014: 1-14.</w:t>
      </w:r>
    </w:p>
    <w:p>
      <w:pPr>
        <w:spacing w:after="0"/>
      </w:pPr>
      <w:r>
        <w:rPr>
          <w:rFonts w:ascii="Times New Roman" w:hAnsi="Times New Roman" w:eastAsia="宋体"/>
          <w:b w:val="0"/>
          <w:sz w:val="24"/>
        </w:rPr>
        <w:t>[54] Bowman S R, Vilnis L, Vinyals O, et al. Generating sentences from a continuous space[C]// Proceedings of the 20th SIGNLL Conference on Computational Natural Language Learning (CoNLL). Berlin: Association for Computational Linguistics, 2016: 10-21.</w:t>
      </w:r>
    </w:p>
    <w:p>
      <w:pPr>
        <w:spacing w:after="0"/>
      </w:pPr>
      <w:r>
        <w:rPr>
          <w:rFonts w:ascii="Times New Roman" w:hAnsi="Times New Roman" w:eastAsia="宋体"/>
          <w:b w:val="0"/>
          <w:sz w:val="24"/>
        </w:rPr>
        <w:t>[55] Sohn K, Lee H, Yan X. Learning structured output representation using deep conditional generative models[C]// Advances in Neural Information Processing Systems, 2015: 3483-3491.</w:t>
      </w:r>
    </w:p>
    <w:p>
      <w:pPr>
        <w:spacing w:after="0"/>
      </w:pPr>
      <w:r>
        <w:rPr>
          <w:rFonts w:ascii="Times New Roman" w:hAnsi="Times New Roman" w:eastAsia="宋体"/>
          <w:b w:val="0"/>
          <w:sz w:val="24"/>
        </w:rPr>
        <w:t>[56] Sønderby C K, Raiko T, Maaløe L, et al. Ladder variational autoencoders[C]// Advances in Neural Information Processing Systems, 2016: 3738-3746.</w:t>
      </w:r>
    </w:p>
    <w:p>
      <w:pPr>
        <w:spacing w:after="0"/>
      </w:pPr>
      <w:r>
        <w:rPr>
          <w:rFonts w:ascii="Times New Roman" w:hAnsi="Times New Roman" w:eastAsia="宋体"/>
          <w:b w:val="0"/>
          <w:sz w:val="24"/>
        </w:rPr>
        <w:t>[57] Wu Z, Pan S, Long G, et al. Connecting the dots: Multivariate time series forecasting with graph neural networks[C]// Proceedings of the 26th ACM SIGKDD International Conference on Knowledge Discovery and Data Mining, 2020: 753-763.</w:t>
      </w:r>
    </w:p>
    <w:p>
      <w:pPr>
        <w:spacing w:after="0"/>
      </w:pPr>
      <w:r>
        <w:rPr>
          <w:rFonts w:ascii="Times New Roman" w:hAnsi="Times New Roman" w:eastAsia="宋体"/>
          <w:b w:val="0"/>
          <w:sz w:val="24"/>
        </w:rPr>
        <w:t>[58] Wang Y, Liang Y, Xia Y, et al. PM2.5-GNN: A domain knowledge enhanced graph neural network for PM2.5 forecasting[C]// Proceedings of the 28th International Conference on Advances in Geographic Information Systems, 2020: 163-166.</w:t>
      </w:r>
    </w:p>
    <w:p>
      <w:pPr>
        <w:spacing w:after="0"/>
      </w:pPr>
      <w:r>
        <w:rPr>
          <w:rFonts w:ascii="Times New Roman" w:hAnsi="Times New Roman" w:eastAsia="宋体"/>
          <w:b w:val="0"/>
          <w:sz w:val="24"/>
        </w:rPr>
        <w:t>[59] Chen Q, Liang Y, Xia Y, et al. Group-aware graph neural network for nationwide city air quality forecasting[J]. ACM Transactions on Knowledge Discovery from Data, 2024, 18(3): 1-19.</w:t>
      </w:r>
    </w:p>
    <w:p>
      <w:pPr>
        <w:spacing w:after="0"/>
      </w:pPr>
      <w:r>
        <w:rPr>
          <w:rFonts w:ascii="Times New Roman" w:hAnsi="Times New Roman" w:eastAsia="宋体"/>
          <w:b w:val="0"/>
          <w:sz w:val="24"/>
        </w:rPr>
        <w:t>[60] Bahdanau D, Cho K, Bengio Y. Neural machine translation by jointly learning to align and translate[C]// Proceedings of the 3rd International Conference on Learning Representations, 2015.</w:t>
      </w:r>
    </w:p>
    <w:p>
      <w:pPr>
        <w:spacing w:after="0"/>
      </w:pPr>
      <w:r>
        <w:rPr>
          <w:rFonts w:ascii="Times New Roman" w:hAnsi="Times New Roman" w:eastAsia="宋体"/>
          <w:b w:val="0"/>
          <w:sz w:val="24"/>
        </w:rPr>
        <w:t>[61] Chen Z, Chen D, Zhao C, et al. Influence of meteorological conditions on PM2.5 concentrations across China: a review of methodology and mechanism[J]. Environment International, 2020, 143: 105890.</w:t>
      </w:r>
    </w:p>
    <w:p>
      <w:pPr>
        <w:spacing w:after="0"/>
      </w:pPr>
      <w:r>
        <w:rPr>
          <w:rFonts w:ascii="Times New Roman" w:hAnsi="Times New Roman" w:eastAsia="宋体"/>
          <w:b w:val="0"/>
          <w:sz w:val="24"/>
        </w:rPr>
        <w:t>[62] Wang L T, Wei Z, Yang J, et al. The 2013 severe haze over southern Hebei, China: model evaluation, source apportionment, and policy implications[J]. Atmospheric Chemistry and Physics, 2014, 14(6): 3151-3173.</w:t>
      </w:r>
    </w:p>
    <w:p>
      <w:pPr>
        <w:spacing w:after="0"/>
      </w:pPr>
      <w:r>
        <w:rPr>
          <w:rFonts w:ascii="Times New Roman" w:hAnsi="Times New Roman" w:eastAsia="宋体"/>
          <w:b w:val="0"/>
          <w:sz w:val="24"/>
        </w:rPr>
        <w:t>[63] Zhong J T, Zhang X Y, Dong Y S, et al. Feedback effects of boundary-layer meteorological factors on cumulative explosive growth of PM2.5 during winter heavy pollution episodes in Beijing from 2013 to 2016[J]. Atmospheric Chemistry and Physics, 2018, 18(1): 247-258.</w:t>
      </w:r>
    </w:p>
    <w:p>
      <w:pPr>
        <w:spacing w:after="0"/>
      </w:pPr>
      <w:r>
        <w:rPr>
          <w:rFonts w:ascii="Times New Roman" w:hAnsi="Times New Roman" w:eastAsia="宋体"/>
          <w:b w:val="0"/>
          <w:sz w:val="24"/>
        </w:rPr>
        <w:t>[64] Zhao B, Zheng H L, Wang S X, et al. Change in household fuels dominates the decrease in PM2.5 exposure and premature mortality in China in 2005–2015[J]. Proceedings of the National Academy of Sciences, 2018, 115(49): 12401-12406.</w:t>
      </w:r>
    </w:p>
    <w:p>
      <w:pPr>
        <w:spacing w:after="0"/>
      </w:pPr>
      <w:r>
        <w:rPr>
          <w:rFonts w:ascii="Times New Roman" w:hAnsi="Times New Roman" w:eastAsia="宋体"/>
          <w:b w:val="0"/>
          <w:sz w:val="24"/>
        </w:rPr>
        <w:t>[65] Bei N F, Zhao L N, Wu J R, et al. Impacts of sea-land and mountain-valley circulations on the air pollution in Beijing-Tianjin-Hebei (BTH): A case study[J]. Environmental Pollution, 2018, 234: 429-438.</w:t>
      </w:r>
    </w:p>
    <w:p>
      <w:pPr>
        <w:spacing w:after="0"/>
      </w:pPr>
      <w:r>
        <w:rPr>
          <w:rFonts w:ascii="Times New Roman" w:hAnsi="Times New Roman" w:eastAsia="宋体"/>
          <w:b w:val="0"/>
          <w:sz w:val="24"/>
        </w:rPr>
        <w:t>[66] Appel K W, Napelenok S L, Foley K M, et al. Description and evaluation of the Community Multiscale Air Quality (CMAQ) modeling system version 5.1[J]. Geoscientific Model Development, 2017, 10(4): 1703-1732.</w:t>
      </w:r>
    </w:p>
    <w:p>
      <w:pPr>
        <w:spacing w:after="0"/>
      </w:pPr>
      <w:r>
        <w:rPr>
          <w:rFonts w:ascii="Times New Roman" w:hAnsi="Times New Roman" w:eastAsia="宋体"/>
          <w:b w:val="0"/>
          <w:sz w:val="24"/>
        </w:rPr>
        <w:t>[67] 王自发, 吴其重, 庄国顺. 嵌套网格空气质量预报模式系统的发展与应用[J]. 大气科学, 2006, 30(5): 778-790.</w:t>
      </w:r>
    </w:p>
    <w:p>
      <w:pPr>
        <w:spacing w:after="0"/>
      </w:pPr>
      <w:r>
        <w:rPr>
          <w:rFonts w:ascii="Times New Roman" w:hAnsi="Times New Roman" w:eastAsia="宋体"/>
          <w:b w:val="0"/>
          <w:sz w:val="24"/>
        </w:rPr>
        <w:t>[68] Grell G A, Peckham S E, Schmitz R, et al. Fully coupled online chemistry within the WRF model[J]. Atmospheric Environment, 2005, 39(37): 6957-6975.</w:t>
      </w:r>
    </w:p>
    <w:p>
      <w:pPr>
        <w:spacing w:after="0"/>
      </w:pPr>
      <w:r>
        <w:rPr>
          <w:rFonts w:ascii="Times New Roman" w:hAnsi="Times New Roman" w:eastAsia="宋体"/>
          <w:b w:val="0"/>
          <w:sz w:val="24"/>
        </w:rPr>
        <w:t>[69] Daly A, Zannetti P. Air pollution modeling – An overview[M]//Ambient Air Pollution. The Arab School for Science and Technology and The EnviroComp Institute, 2007: 15-28.</w:t>
      </w:r>
    </w:p>
    <w:p>
      <w:pPr>
        <w:spacing w:after="0"/>
      </w:pPr>
      <w:r>
        <w:rPr>
          <w:rFonts w:ascii="Times New Roman" w:hAnsi="Times New Roman" w:eastAsia="宋体"/>
          <w:b w:val="0"/>
          <w:sz w:val="24"/>
        </w:rPr>
        <w:t>[70] Arystanbekova N K. Application of Gaussian plume models for air pollution simulation at instantaneous emissions[J]. Mathematics and Computers in Simulation, 2004, 67(4-5): 451-458.</w:t>
      </w:r>
    </w:p>
    <w:p>
      <w:pPr>
        <w:spacing w:after="0"/>
      </w:pPr>
      <w:r>
        <w:rPr>
          <w:rFonts w:ascii="Times New Roman" w:hAnsi="Times New Roman" w:eastAsia="宋体"/>
          <w:b w:val="0"/>
          <w:sz w:val="24"/>
        </w:rPr>
        <w:t>[71] Vardoulakis S, Fisher B E A, Pericleous K, et al. Modelling air quality in street canyons: A review[J]. Atmospheric Environment, 2003, 37(2): 155-182.</w:t>
      </w:r>
    </w:p>
    <w:p>
      <w:pPr>
        <w:spacing w:after="0"/>
      </w:pPr>
      <w:r>
        <w:rPr>
          <w:rFonts w:ascii="Times New Roman" w:hAnsi="Times New Roman" w:eastAsia="宋体"/>
          <w:b w:val="0"/>
          <w:sz w:val="24"/>
        </w:rPr>
        <w:t>[72] Vallero D A. Fundamentals of Air Pollution[M]. 5th ed. Academic Press, 2014.</w:t>
      </w:r>
    </w:p>
    <w:p>
      <w:pPr>
        <w:spacing w:after="0"/>
      </w:pPr>
      <w:r>
        <w:rPr>
          <w:rFonts w:ascii="Times New Roman" w:hAnsi="Times New Roman" w:eastAsia="宋体"/>
          <w:b w:val="0"/>
          <w:sz w:val="24"/>
        </w:rPr>
        <w:t>[73] Box G E P, Jenkins G M. Time Series Analysis: Forecasting and Control[M]. Revised ed. Holden-Day, 1976.</w:t>
      </w:r>
    </w:p>
    <w:p>
      <w:pPr>
        <w:spacing w:after="0"/>
      </w:pPr>
      <w:r>
        <w:rPr>
          <w:rFonts w:ascii="Times New Roman" w:hAnsi="Times New Roman" w:eastAsia="宋体"/>
          <w:b w:val="0"/>
          <w:sz w:val="24"/>
        </w:rPr>
        <w:t>[74] Kumar A, Jain V K. Forecasting of air quality index in Delhi using neural network based on principal component analysis[J]. Pure and Applied Geophysics, 2010, 170(4): 711-722.</w:t>
      </w:r>
    </w:p>
    <w:p>
      <w:pPr>
        <w:spacing w:after="0"/>
      </w:pPr>
      <w:r>
        <w:rPr>
          <w:rFonts w:ascii="Times New Roman" w:hAnsi="Times New Roman" w:eastAsia="宋体"/>
          <w:b w:val="0"/>
          <w:sz w:val="24"/>
        </w:rPr>
        <w:t>[75] 刘茂, 王晓峰, 张伟. 基于ARIMA 模型的南京市大气SO2 浓度预测[J]. 环境科学与技术, 2024, 47(3): 88-95.</w:t>
      </w:r>
    </w:p>
    <w:p>
      <w:pPr>
        <w:spacing w:after="0"/>
      </w:pPr>
      <w:r>
        <w:rPr>
          <w:rFonts w:ascii="Times New Roman" w:hAnsi="Times New Roman" w:eastAsia="宋体"/>
          <w:b w:val="0"/>
          <w:sz w:val="24"/>
        </w:rPr>
        <w:t>[76] 宋国军, 王晓峰. 基于ARIMA-SVM 组合模型的PM2.5 浓度预测[J]. 环境科学学报, 2018, 38(6): 2191-2198.</w:t>
      </w:r>
    </w:p>
    <w:p>
      <w:pPr>
        <w:spacing w:after="0"/>
      </w:pPr>
      <w:r>
        <w:rPr>
          <w:rFonts w:ascii="Times New Roman" w:hAnsi="Times New Roman" w:eastAsia="宋体"/>
          <w:b w:val="0"/>
          <w:sz w:val="24"/>
        </w:rPr>
        <w:t>[77] 李建新, 王晓峰. 基于MRMR-HK-SVM 的PM2.5 浓度预测模型[J]. 计算机工程与应用, 2019, 55(12): 236-242.</w:t>
      </w:r>
    </w:p>
    <w:p>
      <w:pPr>
        <w:spacing w:after="0"/>
      </w:pPr>
      <w:r>
        <w:rPr>
          <w:rFonts w:ascii="Times New Roman" w:hAnsi="Times New Roman" w:eastAsia="宋体"/>
          <w:b w:val="0"/>
          <w:sz w:val="24"/>
        </w:rPr>
        <w:t>[78] 吴晓璇, 王晓峰. 基于RF-EMD-LSTM 的PM2.5 浓度混合预测模型[J]. 环境科学, 2024, 45(2): 678-687.</w:t>
      </w:r>
    </w:p>
    <w:p>
      <w:pPr>
        <w:spacing w:after="0"/>
      </w:pPr>
      <w:r>
        <w:rPr>
          <w:rFonts w:ascii="Times New Roman" w:hAnsi="Times New Roman" w:eastAsia="宋体"/>
          <w:b w:val="0"/>
          <w:sz w:val="24"/>
        </w:rPr>
        <w:t>[79] Bai S, Kolter J Z, Koltun V. An empirical evaluation of generic convolutional and recurrent networks for sequence modeling[J]. arXiv preprint arXiv:1803.01271, 2018.</w:t>
      </w:r>
    </w:p>
    <w:p>
      <w:pPr>
        <w:spacing w:after="0"/>
      </w:pPr>
      <w:r>
        <w:rPr>
          <w:rFonts w:ascii="Times New Roman" w:hAnsi="Times New Roman" w:eastAsia="宋体"/>
          <w:b w:val="0"/>
          <w:sz w:val="24"/>
        </w:rPr>
        <w:t>[80] Chen H, Wang Y, Zhang L, et al. A dual-LSTM model with attention for PM2.5 prediction[J]. IEEE Access, 2021, 9: 91922-91932.</w:t>
      </w:r>
    </w:p>
    <w:p>
      <w:pPr>
        <w:spacing w:after="0"/>
      </w:pPr>
      <w:r>
        <w:rPr>
          <w:rFonts w:ascii="Times New Roman" w:hAnsi="Times New Roman" w:eastAsia="宋体"/>
          <w:b w:val="0"/>
          <w:sz w:val="24"/>
        </w:rPr>
        <w:t>[81] 任瑛, 王晓峰. 基于时间卷积网络的PM2.5 浓度预测[J]. 计算机工程与应用, 2024, 60(5): 312-319.</w:t>
      </w:r>
    </w:p>
    <w:p>
      <w:pPr>
        <w:spacing w:after="0"/>
      </w:pPr>
      <w:r>
        <w:rPr>
          <w:rFonts w:ascii="Times New Roman" w:hAnsi="Times New Roman" w:eastAsia="宋体"/>
          <w:b w:val="0"/>
          <w:sz w:val="24"/>
        </w:rPr>
        <w:t>[82] 张黎鹏, 王晓峰. 基于多重注意力GRU 的PM2.5 浓度预测模型[J]. 环境科学学报, 2025, 45(1): 112-121.</w:t>
      </w:r>
    </w:p>
    <w:p>
      <w:pPr>
        <w:spacing w:after="0"/>
      </w:pPr>
      <w:r>
        <w:rPr>
          <w:rFonts w:ascii="Times New Roman" w:hAnsi="Times New Roman" w:eastAsia="宋体"/>
          <w:b w:val="0"/>
          <w:sz w:val="24"/>
        </w:rPr>
        <w:t>[83] LeCun Y, Bottou L, Bengio Y, et al. Gradient-based learning applied to document recognition[J]. Proceedings of the IEEE, 1998, 86(11): 2278-2324.</w:t>
      </w:r>
    </w:p>
    <w:p>
      <w:pPr>
        <w:spacing w:after="0"/>
      </w:pPr>
      <w:r>
        <w:rPr>
          <w:rFonts w:ascii="Times New Roman" w:hAnsi="Times New Roman" w:eastAsia="宋体"/>
          <w:b w:val="0"/>
          <w:sz w:val="24"/>
        </w:rPr>
        <w:t>[84] 林买金, 王晓峰. 基于CNN-GRU-SSA 的PM2.5 浓度预测模型[J]. 环境科学, 2024, 45(6): 3201-3210.</w:t>
      </w:r>
    </w:p>
    <w:p>
      <w:pPr>
        <w:spacing w:after="0"/>
      </w:pPr>
      <w:r>
        <w:rPr>
          <w:rFonts w:ascii="Times New Roman" w:hAnsi="Times New Roman" w:eastAsia="宋体"/>
          <w:b w:val="0"/>
          <w:sz w:val="24"/>
        </w:rPr>
        <w:t>[85] 邸江芬, 王晓峰. 基于注意力机制CNN-BiLSTM 的PM2.5 浓度预测[J]. 计算机应用, 2023, 43(8): 2456-2463.</w:t>
      </w:r>
    </w:p>
    <w:p>
      <w:pPr>
        <w:spacing w:after="0"/>
      </w:pPr>
      <w:r>
        <w:rPr>
          <w:rFonts w:ascii="Times New Roman" w:hAnsi="Times New Roman" w:eastAsia="宋体"/>
          <w:b w:val="0"/>
          <w:sz w:val="24"/>
        </w:rPr>
        <w:t>[86] 黄琨, 王晓峰. 融合时空特征的城市多站点PM2.5 浓度预测方法[J]. 环境科学学报, 2024, 44(3): 891-900.</w:t>
      </w:r>
    </w:p>
    <w:p>
      <w:pPr>
        <w:spacing w:after="0"/>
      </w:pPr>
      <w:r>
        <w:rPr>
          <w:rFonts w:ascii="Times New Roman" w:hAnsi="Times New Roman" w:eastAsia="宋体"/>
          <w:b w:val="0"/>
          <w:sz w:val="24"/>
        </w:rPr>
        <w:t>[87] Bindel D, Brook R D, Rajagopalan S. Air pollution and cardiovascular disease[J]. Journal of the American College of Cardiology, 2019, 72(17): 2054-2070.</w:t>
      </w:r>
    </w:p>
    <w:p>
      <w:pPr>
        <w:spacing w:after="0"/>
      </w:pPr>
      <w:r>
        <w:rPr>
          <w:rFonts w:ascii="Times New Roman" w:hAnsi="Times New Roman" w:eastAsia="宋体"/>
          <w:b w:val="0"/>
          <w:sz w:val="24"/>
        </w:rPr>
        <w:t>[88] Kumar A, Goyal P. Forecasting of daily air quality index in Delhi[J]. Science of the Total Environment, 2011, 409(24): 5517-5523.</w:t>
      </w:r>
    </w:p>
    <w:p>
      <w:pPr>
        <w:spacing w:after="0"/>
      </w:pPr>
      <w:r>
        <w:rPr>
          <w:rFonts w:ascii="Times New Roman" w:hAnsi="Times New Roman" w:eastAsia="宋体"/>
          <w:b w:val="0"/>
          <w:sz w:val="24"/>
        </w:rPr>
        <w:t>[89] 张志薇, 王式功, 尚可政, 等. 北京市空气质量指数的时间序列预测模型[J]. 兰州大学学报(自然科学版), 2014, 50(5): 691-696.</w:t>
      </w:r>
    </w:p>
    <w:p>
      <w:pPr>
        <w:spacing w:after="0"/>
      </w:pPr>
      <w:r>
        <w:rPr>
          <w:rFonts w:ascii="Times New Roman" w:hAnsi="Times New Roman" w:eastAsia="宋体"/>
          <w:b w:val="0"/>
          <w:sz w:val="24"/>
        </w:rPr>
        <w:t>[90] Dominici F, McDermott A, Zeger S L, et al. On the use of generalized additive models in time-series studies of air pollution and health[J]. American Journal of Epidemiology, 2002, 156(3): 193-203.</w:t>
      </w:r>
    </w:p>
    <w:p>
      <w:pPr>
        <w:spacing w:after="0"/>
      </w:pPr>
      <w:r>
        <w:rPr>
          <w:rFonts w:ascii="Times New Roman" w:hAnsi="Times New Roman" w:eastAsia="宋体"/>
          <w:b w:val="0"/>
          <w:sz w:val="24"/>
        </w:rPr>
        <w:t>[91] 王占山, 李云婷, 陈添, 等. 北京市PM2.5 浓度与气象条件的关系[J]. 环境科学研究, 2014, 27(2): 135-142.</w:t>
      </w:r>
    </w:p>
    <w:p>
      <w:pPr>
        <w:spacing w:after="0"/>
      </w:pPr>
      <w:r>
        <w:rPr>
          <w:rFonts w:ascii="Times New Roman" w:hAnsi="Times New Roman" w:eastAsia="宋体"/>
          <w:b w:val="0"/>
          <w:sz w:val="24"/>
        </w:rPr>
        <w:t>[92] Suárez Sánchez A, García Nieto P J, Riesgo Fernández P, et al. Application of an SVM-based regression model to the air quality study at local scale in the Avilés urban area (Spain)[J]. Mathematical and Computer Modelling, 2011, 54(5-6): 1453-1466.</w:t>
      </w:r>
    </w:p>
    <w:p>
      <w:pPr>
        <w:spacing w:after="0"/>
      </w:pPr>
      <w:r>
        <w:rPr>
          <w:rFonts w:ascii="Times New Roman" w:hAnsi="Times New Roman" w:eastAsia="宋体"/>
          <w:b w:val="0"/>
          <w:sz w:val="24"/>
        </w:rPr>
        <w:t>[93] 孙宗耀, 王玉明, 张秀芝. 基于小波分解与支持向量回归的北京市PM2.5 浓度预测 [J]. 环境科学学报, 2016, 36(8): 3054-3061.</w:t>
      </w:r>
    </w:p>
    <w:p>
      <w:pPr>
        <w:spacing w:after="0"/>
      </w:pPr>
      <w:r>
        <w:rPr>
          <w:rFonts w:ascii="Times New Roman" w:hAnsi="Times New Roman" w:eastAsia="宋体"/>
          <w:b w:val="0"/>
          <w:sz w:val="24"/>
        </w:rPr>
        <w:t>[94] Hu X, Belle J H, Meng X, et al. Estimating PM2.5 concentrations in the conterminous United States using the random forest approach[J]. Environmental Science &amp; Technology, 2017, 51(12): 6936-6944.</w:t>
      </w:r>
    </w:p>
    <w:p>
      <w:pPr>
        <w:spacing w:after="0"/>
      </w:pPr>
      <w:r>
        <w:rPr>
          <w:rFonts w:ascii="Times New Roman" w:hAnsi="Times New Roman" w:eastAsia="宋体"/>
          <w:b w:val="0"/>
          <w:sz w:val="24"/>
        </w:rPr>
        <w:t>[95] Liu Y, Cao G, Zhao N, et al. Improve ground-level PM2.5 concentration mapping using a random forests-based geostatistical approach[J]. Environmental Pollution, 2018, 235: 272-282.</w:t>
      </w:r>
    </w:p>
    <w:p>
      <w:pPr>
        <w:spacing w:after="0"/>
      </w:pPr>
      <w:r>
        <w:rPr>
          <w:rFonts w:ascii="Times New Roman" w:hAnsi="Times New Roman" w:eastAsia="宋体"/>
          <w:b w:val="0"/>
          <w:sz w:val="24"/>
        </w:rPr>
        <w:t>[96] Chen G, Li S, Knibbs L D, et al. A machine learning method to estimate PM2.5 concentrations across China with remote sensing, meteorological and land use information[J]. Science of the Total Environment, 2018, 636: 52-60.</w:t>
      </w:r>
    </w:p>
    <w:p>
      <w:pPr>
        <w:spacing w:after="0"/>
      </w:pPr>
      <w:r>
        <w:rPr>
          <w:rFonts w:ascii="Times New Roman" w:hAnsi="Times New Roman" w:eastAsia="宋体"/>
          <w:b w:val="0"/>
          <w:sz w:val="24"/>
        </w:rPr>
        <w:t>[97] Zhao J, Deng F, Cai Y, et al. Long short-term memory-Fully connected (LSTM-FC) neural network for PM2.5 concentration prediction[J]. Chemosphere, 2019, 220: 486-492.</w:t>
      </w:r>
    </w:p>
    <w:p>
      <w:pPr>
        <w:spacing w:after="0"/>
      </w:pPr>
      <w:r>
        <w:rPr>
          <w:rFonts w:ascii="Times New Roman" w:hAnsi="Times New Roman" w:eastAsia="宋体"/>
          <w:b w:val="0"/>
          <w:sz w:val="24"/>
        </w:rPr>
        <w:t>[98] Li T, Shen H, Yuan Q, et al. Estimating ground-level PM2.5 by fusing satellite and station observations: A geo-intelligent deep learning approach[J]. Geophysical Research Letters, 2017, 44(23): 11985-11993.</w:t>
      </w:r>
    </w:p>
    <w:p>
      <w:pPr>
        <w:spacing w:after="0"/>
      </w:pPr>
      <w:r>
        <w:rPr>
          <w:rFonts w:ascii="Times New Roman" w:hAnsi="Times New Roman" w:eastAsia="宋体"/>
          <w:b w:val="0"/>
          <w:sz w:val="24"/>
        </w:rPr>
        <w:t>[99] Huang C J, Kuo P H. A deep CNN-LSTM model for particulate matter (PM2.5) forecasting in smart cities[J]. Sensors, 2018, 18(7): 2220.</w:t>
      </w:r>
    </w:p>
    <w:p>
      <w:pPr>
        <w:spacing w:after="0"/>
      </w:pPr>
      <w:r>
        <w:rPr>
          <w:rFonts w:ascii="Times New Roman" w:hAnsi="Times New Roman" w:eastAsia="宋体"/>
          <w:b w:val="0"/>
          <w:sz w:val="24"/>
        </w:rPr>
        <w:t>[100] Liang Y, Ke S, Zhang J, et al. GeoMAN: Multi-level attention networks for geosensory time series prediction[C]// Proceedings of the 27th International Joint Conference on Artificial Intelligence, 2018: 3428-3434.</w:t>
      </w:r>
    </w:p>
    <w:p>
      <w:pPr>
        <w:spacing w:after="0"/>
      </w:pPr>
      <w:r>
        <w:rPr>
          <w:rFonts w:ascii="Times New Roman" w:hAnsi="Times New Roman" w:eastAsia="宋体"/>
          <w:b w:val="0"/>
          <w:sz w:val="24"/>
        </w:rPr>
        <w:t>[101] Cheng W, Shen Y, Zhu Y, et al. A neural attention model for urban air quality inference: Learning the weights of monitoring stations[C]// Proceedings of the AAAI Conference on Artificial Intelligence, 2018, 32(1).</w:t>
      </w:r>
    </w:p>
    <w:p>
      <w:pPr>
        <w:spacing w:after="0"/>
      </w:pPr>
      <w:r>
        <w:rPr>
          <w:rFonts w:ascii="Times New Roman" w:hAnsi="Times New Roman" w:eastAsia="宋体"/>
          <w:b w:val="0"/>
          <w:sz w:val="24"/>
        </w:rPr>
        <w:t>[102] Xu M, Dai W, Liu C, et al. Spatial-temporal transformer networks for traﬀic flow forecasting[J]. arXiv preprint arXiv:2001.02908, 2020.</w:t>
      </w:r>
    </w:p>
    <w:p>
      <w:pPr>
        <w:spacing w:after="0"/>
      </w:pPr>
      <w:r>
        <w:rPr>
          <w:rFonts w:ascii="Times New Roman" w:hAnsi="Times New Roman" w:eastAsia="宋体"/>
          <w:b w:val="0"/>
          <w:sz w:val="24"/>
        </w:rPr>
        <w:t>[103] Zheng C, Fan X, Wang C, et al. GMAN: A graph multi-attention network for traﬀic prediction[C]// Proceedings of the AAAI Conference on Artificial Intelligence, 2020, 34(01): 1234-1241.</w:t>
      </w:r>
    </w:p>
    <w:p>
      <w:pPr>
        <w:spacing w:after="0"/>
      </w:pPr>
      <w:r>
        <w:rPr>
          <w:rFonts w:ascii="Times New Roman" w:hAnsi="Times New Roman" w:eastAsia="宋体"/>
          <w:b w:val="0"/>
          <w:sz w:val="24"/>
        </w:rPr>
        <w:t>[104] Kingma D P, Ba J. Adam: A method for stochastic optimization[J]. arXiv preprint arXiv:1412.6980, 2014.</w:t>
      </w:r>
    </w:p>
    <w:p>
      <w:pPr>
        <w:spacing w:after="0"/>
      </w:pPr>
      <w:r>
        <w:rPr>
          <w:rFonts w:ascii="Times New Roman" w:hAnsi="Times New Roman" w:eastAsia="宋体"/>
          <w:b w:val="0"/>
          <w:sz w:val="24"/>
        </w:rPr>
        <w:t>[105] Huber P J. Robust estimation of a location parameter[J]. The Annals of Mathematical Statistics, 1964, 35(1): 73-101.</w:t>
      </w:r>
    </w:p>
    <w:p>
      <w:pPr>
        <w:spacing w:after="0"/>
      </w:pPr>
      <w:r>
        <w:rPr>
          <w:rFonts w:ascii="Times New Roman" w:hAnsi="Times New Roman" w:eastAsia="宋体"/>
          <w:b w:val="0"/>
          <w:sz w:val="24"/>
        </w:rPr>
        <w:t>[106] Lin T Y, Goyal P, Girshick R, et al. Focal loss for dense object detection[C]// Proceedings of the IEEE International Conference on Computer Vision, 2017: 2980-2988.</w:t>
      </w:r>
    </w:p>
    <w:p>
      <w:pPr>
        <w:spacing w:after="0"/>
      </w:pPr>
      <w:r>
        <w:rPr>
          <w:rFonts w:ascii="Times New Roman" w:hAnsi="Times New Roman" w:eastAsia="宋体"/>
          <w:b w:val="0"/>
          <w:sz w:val="24"/>
        </w:rPr>
        <w:t>[107] Kendall A, Gal Y, Cipolla R. Multi-task learning using uncertainty to weigh losses for scene geometry and semantics[C]// Proceedings of the IEEE Conference on Computer Vision and Pattern Recognition, 2018: 7482-7491.</w:t>
      </w:r>
    </w:p>
    <w:p>
      <w:pPr>
        <w:spacing w:after="0"/>
      </w:pPr>
      <w:r>
        <w:rPr>
          <w:rFonts w:ascii="Times New Roman" w:hAnsi="Times New Roman" w:eastAsia="宋体"/>
          <w:b w:val="0"/>
          <w:sz w:val="24"/>
        </w:rPr>
        <w:t>[108] Loshchilov I, Hutter F. SGDR: Stochastic gradient descent with warm restarts[C]// International Conference on Learning Representations, 2017.</w:t>
      </w:r>
    </w:p>
    <w:p>
      <w:pPr>
        <w:spacing w:after="0"/>
      </w:pPr>
      <w:r>
        <w:rPr>
          <w:rFonts w:ascii="Times New Roman" w:hAnsi="Times New Roman" w:eastAsia="宋体"/>
          <w:b w:val="0"/>
          <w:sz w:val="24"/>
        </w:rPr>
        <w:t>[109] Luong M T, Pham H, Manning C D. Effective approaches to attention-based neural machine translation[C]// Proceedings of the 2015 Conference on Empirical Methods in Natural Language Processing (EMNLP). Lisbon: Association for Computational Linguistics, 2015: 1412-1421.</w:t>
      </w:r>
    </w:p>
    <w:p>
      <w:pPr>
        <w:spacing w:after="0"/>
      </w:pPr>
      <w:r>
        <w:rPr>
          <w:rFonts w:ascii="Times New Roman" w:hAnsi="Times New Roman" w:eastAsia="宋体"/>
          <w:b w:val="0"/>
          <w:sz w:val="24"/>
        </w:rPr>
        <w:t>[110] Niu Z, Zhong G, Yu H. A review on the attention mechanism of deep learning[J]. Neurocomputing, 2021, 452: 48-62.</w:t>
      </w:r>
    </w:p>
    <w:p>
      <w:pPr>
        <w:spacing w:after="0"/>
      </w:pPr>
      <w:r>
        <w:rPr>
          <w:rFonts w:ascii="Times New Roman" w:hAnsi="Times New Roman" w:eastAsia="宋体"/>
          <w:b w:val="0"/>
          <w:sz w:val="24"/>
        </w:rPr>
        <w:t>[111] Guo S, Lin Y, Feng N, et al. Attention based spatial-temporal graph convolutional networks for traﬀic flow forecasting[C]// Proceedings of the 33rd AAAI Conference on Artificial Intelligence (AAAI). Honolulu: AAAI Press, 2019: 922-929.</w:t>
      </w:r>
    </w:p>
    <w:p>
      <w:pPr>
        <w:spacing w:after="0"/>
      </w:pPr>
      <w:r>
        <w:rPr>
          <w:rFonts w:ascii="Times New Roman" w:hAnsi="Times New Roman" w:eastAsia="宋体"/>
          <w:b w:val="0"/>
          <w:sz w:val="24"/>
        </w:rPr>
        <w:t>[112] Shih S Y, Sun F K, Lee H Y. Temporal pattern attention for multivariate time series forecasting[J]. Machine Learning, 2019, 108(8-9): 1421-1441.</w:t>
      </w:r>
    </w:p>
    <w:p>
      <w:pPr>
        <w:spacing w:after="0"/>
      </w:pPr>
      <w:r>
        <w:rPr>
          <w:rFonts w:ascii="Times New Roman" w:hAnsi="Times New Roman" w:eastAsia="宋体"/>
          <w:b w:val="0"/>
          <w:sz w:val="24"/>
        </w:rPr>
        <w:t>[113] Wang X, Ma Y, Wang Y, et al. Traﬀic flow prediction via spatial temporal graph neural network[C]// Proceedings of The Web Conference 2020. Taipei: ACM, 2020: 1082-1092.</w:t>
      </w:r>
    </w:p>
    <w:p>
      <w:pPr>
        <w:spacing w:after="0"/>
      </w:pPr>
      <w:r>
        <w:rPr>
          <w:rFonts w:ascii="Times New Roman" w:hAnsi="Times New Roman" w:eastAsia="宋体"/>
          <w:b w:val="0"/>
          <w:sz w:val="24"/>
        </w:rPr>
        <w:t>[114] Wang S, Li Y, Zhang J, et al. A spatiotemporal multi-graph convolutional network for air quality prediction[J]. Applied Intelligence, 2022, 52(15): 17489-17505.</w:t>
      </w:r>
    </w:p>
    <w:p>
      <w:pPr>
        <w:spacing w:after="0"/>
      </w:pPr>
      <w:r>
        <w:rPr>
          <w:rFonts w:ascii="Times New Roman" w:hAnsi="Times New Roman" w:eastAsia="宋体"/>
          <w:b w:val="0"/>
          <w:sz w:val="24"/>
        </w:rPr>
        <w:t>[115] Yi X, Zhang J, Wang Z, et al. Deep distributed fusion network for air quality prediction[C]// Proceedings of the 24th ACM SIGKDD International Conference on Knowledge Discovery and Data Mining, 2018: 965-973.</w:t>
      </w:r>
    </w:p>
    <w:p>
      <w:pPr>
        <w:spacing w:after="0"/>
      </w:pPr>
      <w:r>
        <w:rPr>
          <w:rFonts w:ascii="Times New Roman" w:hAnsi="Times New Roman" w:eastAsia="宋体"/>
          <w:b w:val="0"/>
          <w:sz w:val="24"/>
        </w:rPr>
        <w:t>[116] Xu J, Wang K, Lin C, et al. HighAir: A hierarchical graph neural network-based air quality forecasting method[J]. arXiv preprint arXiv:2101.04264, 2021.</w:t>
      </w:r>
    </w:p>
    <w:p>
      <w:pPr>
        <w:spacing w:after="0"/>
      </w:pPr>
      <w:r>
        <w:rPr>
          <w:rFonts w:ascii="Times New Roman" w:hAnsi="Times New Roman" w:eastAsia="宋体"/>
          <w:b w:val="0"/>
          <w:sz w:val="24"/>
        </w:rPr>
        <w:t>[117] Dosovitskiy A, Beyer L, Kolesnikov A, et al. An image is worth 16x16 words: transformers for image recognition at scale[C]// Proceedings of the 9th International Conference on Learning Representations (ICLR). Virtual: OpenReview.net, 2021: 1-21.</w:t>
      </w:r>
    </w:p>
    <w:p>
      <w:pPr>
        <w:spacing w:after="0"/>
      </w:pPr>
      <w:r>
        <w:rPr>
          <w:rFonts w:ascii="Times New Roman" w:hAnsi="Times New Roman" w:eastAsia="宋体"/>
          <w:b w:val="0"/>
          <w:sz w:val="24"/>
        </w:rPr>
        <w:t>[118] Wu H, Xu J, Wang J, et al. Autoformer: Decomposition transformers with autocorrelation for long-term series forecasting[C]// Advances in Neural Information Processing Systems 34 (NeurIPS). Virtual: Curran Associates, 2021: 22419-22430.</w:t>
      </w:r>
    </w:p>
    <w:p>
      <w:pPr>
        <w:spacing w:after="0"/>
      </w:pPr>
      <w:r>
        <w:rPr>
          <w:rFonts w:ascii="Times New Roman" w:hAnsi="Times New Roman" w:eastAsia="宋体"/>
          <w:b w:val="0"/>
          <w:sz w:val="24"/>
        </w:rPr>
        <w:t>[119] Zhou T, Ma Z, Wen Q, et al. FEDformer: Frequency enhanced decomposed transformer for long-term series forecasting[C]// Proceedings of the 39th International Conference on Machine Learning (ICML). Baltimore: PMLR, 2022: 27268-27286.</w:t>
      </w:r>
    </w:p>
    <w:p>
      <w:pPr>
        <w:spacing w:after="0"/>
      </w:pPr>
      <w:r>
        <w:rPr>
          <w:rFonts w:ascii="Times New Roman" w:hAnsi="Times New Roman" w:eastAsia="宋体"/>
          <w:b w:val="0"/>
          <w:sz w:val="24"/>
        </w:rPr>
        <w:t>[120] Nie Y, Nguyen N H, Sinthong P, et al. A time series is worth 64 words: Long-term forecasting with transformers[C]// Proceedings of the 11th International Conference on Learning Representations (ICLR). Kigali: OpenReview.net, 2023: 1-24.</w:t>
      </w:r>
    </w:p>
    <w:p>
      <w:pPr>
        <w:spacing w:after="0"/>
      </w:pPr>
      <w:r>
        <w:rPr>
          <w:rFonts w:ascii="Times New Roman" w:hAnsi="Times New Roman" w:eastAsia="宋体"/>
          <w:b w:val="0"/>
          <w:sz w:val="24"/>
        </w:rPr>
        <w:t>[121] Jiang J, Han C, Zhao W X, et al. PDFormer: Propagation delay-aware dynamic long-range transformer for traﬀic flow prediction[C]// Proceedings of the 37th AAAI Conference on Artificial Intelligence (AAAI). Washington D.C.: AAAI Press, 2023: 4365-4373.</w:t>
      </w:r>
    </w:p>
    <w:p>
      <w:pPr>
        <w:spacing w:after="0"/>
      </w:pPr>
      <w:r>
        <w:rPr>
          <w:rFonts w:ascii="Times New Roman" w:hAnsi="Times New Roman" w:eastAsia="宋体"/>
          <w:b w:val="0"/>
          <w:sz w:val="24"/>
        </w:rPr>
        <w:t>[122] Ba J L, Kiros J R, Hinton G E. Layer normalization[J]. arXiv preprint arXiv:1607.06450, 2016.</w:t>
      </w:r>
    </w:p>
    <w:p>
      <w:pPr>
        <w:spacing w:after="0"/>
      </w:pPr>
      <w:r>
        <w:rPr>
          <w:rFonts w:ascii="Times New Roman" w:hAnsi="Times New Roman" w:eastAsia="宋体"/>
          <w:b w:val="0"/>
          <w:sz w:val="24"/>
        </w:rPr>
        <w:t>[123] Cai L, Janowicz K, Mai G, et al. Traﬀic transformer: Capturing the continuity and periodicity of time series for traﬀic forecasting[J]. Transactions in GIS, 2020, 24(3): 736-755.</w:t>
      </w:r>
    </w:p>
    <w:p>
      <w:pPr>
        <w:spacing w:after="0"/>
      </w:pPr>
      <w:r>
        <w:rPr>
          <w:rFonts w:ascii="Times New Roman" w:hAnsi="Times New Roman" w:eastAsia="宋体"/>
          <w:b w:val="0"/>
          <w:sz w:val="24"/>
        </w:rPr>
        <w:t>[124] Kingma D P, Welling M. Auto-encoding variational Bayes[J]. arXiv preprint arXiv:1312.6114,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