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0"/>
        </w:rPr>
        <w:t>프로젝트 헌장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항목</w:t>
            </w:r>
          </w:p>
        </w:tc>
        <w:tc>
          <w:tcPr>
            <w:tcW w:type="dxa" w:w="6480"/>
          </w:tcPr>
          <w:p>
            <w:r>
              <w:rPr>
                <w:b/>
                <w:sz w:val="22"/>
              </w:rPr>
              <w:t>세부설명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기본정보</w:t>
            </w:r>
          </w:p>
        </w:tc>
        <w:tc>
          <w:tcPr>
            <w:tcW w:type="dxa" w:w="6480"/>
          </w:tcPr>
          <w:p>
            <w:r>
              <w:t>프로젝트명: E4-0</w:t>
              <w:br/>
              <w:t>기간: 2022.06 ~ 2023.03</w:t>
              <w:br/>
              <w:t>관리자: 3조원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개요 및 추진배경</w:t>
            </w:r>
          </w:p>
        </w:tc>
        <w:tc>
          <w:tcPr>
            <w:tcW w:type="dxa" w:w="6480"/>
          </w:tcPr>
          <w:p>
            <w:r>
              <w:t>무원별 역량향상을 위한 학습 플랫폼 구축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목적 및 목표(Outcome Benefits)</w:t>
            </w:r>
          </w:p>
        </w:tc>
        <w:tc>
          <w:tcPr>
            <w:tcW w:type="dxa" w:w="6480"/>
          </w:tcPr>
          <w:p>
            <w:r>
              <w:t>• 기본기능 중심 안정적 시스템 오픈</w:t>
              <w:br/>
              <w:t>• 전략기능 기반 시스템 고도화</w:t>
              <w:br/>
              <w:t>• 외부 Open 추진 및 DT기반 시스템 혁신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성공기준</w:t>
            </w:r>
          </w:p>
        </w:tc>
        <w:tc>
          <w:tcPr>
            <w:tcW w:type="dxa" w:w="6480"/>
          </w:tcPr>
          <w:p>
            <w:r>
              <w:t>• 인수 테스트 통과</w:t>
              <w:br/>
              <w:t>• 사용자 만족도 80% 이상</w:t>
              <w:br/>
              <w:t>• 시스템 가용성 99.9% 이상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성공요인</w:t>
            </w:r>
          </w:p>
        </w:tc>
        <w:tc>
          <w:tcPr>
            <w:tcW w:type="dxa" w:w="6480"/>
          </w:tcPr>
          <w:p>
            <w:r>
              <w:t>• 명확한 요구사항 정의</w:t>
              <w:br/>
              <w:t>• 효과적인 이해관계자 관리</w:t>
              <w:br/>
              <w:t>• 적절한 리소스 배분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성공 추진 전략</w:t>
            </w:r>
          </w:p>
        </w:tc>
        <w:tc>
          <w:tcPr>
            <w:tcW w:type="dxa" w:w="6480"/>
          </w:tcPr>
          <w:p>
            <w:r>
              <w:t>• Agile 방법론 적용</w:t>
              <w:br/>
              <w:t>• 단계적 릴리스</w:t>
              <w:br/>
              <w:t>• 지속적 통합/배포(CI/CD)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추진방법론 및 표준</w:t>
            </w:r>
          </w:p>
        </w:tc>
        <w:tc>
          <w:tcPr>
            <w:tcW w:type="dxa" w:w="6480"/>
          </w:tcPr>
          <w:p>
            <w:r>
              <w:t>• PMP 표준 프로세스</w:t>
              <w:br/>
              <w:t>• Agile/Scrum</w:t>
              <w:br/>
              <w:t>• DevOps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변경 및 산출물(인도물)</w:t>
            </w:r>
          </w:p>
        </w:tc>
        <w:tc>
          <w:tcPr>
            <w:tcW w:type="dxa" w:w="6480"/>
          </w:tcPr>
          <w:p>
            <w:r>
              <w:t>1. 착수보고서</w:t>
              <w:br/>
              <w:t>2. 요구사항정의서</w:t>
              <w:br/>
              <w:t>3. WBS</w:t>
              <w:br/>
              <w:t>4. 테스트 결과서</w:t>
              <w:br/>
              <w:t>5. 사용자 매뉴얼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이해관계자 식별</w:t>
            </w:r>
          </w:p>
        </w:tc>
        <w:tc>
          <w:tcPr>
            <w:tcW w:type="dxa" w:w="6480"/>
          </w:tcPr>
          <w:p>
            <w:r>
              <w:t>• Sponsor: 경영진</w:t>
              <w:br/>
              <w:t>• PM: 프로젝트 관리자</w:t>
              <w:br/>
              <w:t>• 개발팀: 개발자</w:t>
              <w:br/>
              <w:t>• 사용자: 최종 사용자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PM 권한 및 역할</w:t>
            </w:r>
          </w:p>
        </w:tc>
        <w:tc>
          <w:tcPr>
            <w:tcW w:type="dxa" w:w="6480"/>
          </w:tcPr>
          <w:p>
            <w:r>
              <w:t>• 예산 승인 권한</w:t>
              <w:br/>
              <w:t>• 리소스 배분 권한</w:t>
              <w:br/>
              <w:t>• 일정 조정 권한</w:t>
              <w:br/>
              <w:t>• 변경 관리 권한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가정 및 전제조건</w:t>
            </w:r>
          </w:p>
        </w:tc>
        <w:tc>
          <w:tcPr>
            <w:tcW w:type="dxa" w:w="6480"/>
          </w:tcPr>
          <w:p>
            <w:r>
              <w:t>• 그룹사 입직원 대상 서비스</w:t>
              <w:br/>
              <w:t>• 기존 인프라 활용 가능</w:t>
              <w:br/>
              <w:t>• 관련 부서 협조 가능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위험 및 대응(작수사)</w:t>
            </w:r>
          </w:p>
        </w:tc>
        <w:tc>
          <w:tcPr>
            <w:tcW w:type="dxa" w:w="6480"/>
          </w:tcPr>
          <w:p>
            <w:r>
              <w:t>• 요구사항 변경 리스크 (대응: 변경관리 프로세스 수립)</w:t>
              <w:br/>
              <w:t>• 일정 지연 리스크 (대응: 버퍼 확보)</w:t>
              <w:br/>
              <w:t>• 기술 리스크 (대응: POC 수행)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원가내역</w:t>
            </w:r>
          </w:p>
        </w:tc>
        <w:tc>
          <w:tcPr>
            <w:tcW w:type="dxa" w:w="6480"/>
          </w:tcPr>
          <w:p>
            <w:r>
              <w:t>• 인건비: 70%</w:t>
              <w:br/>
              <w:t>• 외주비: 20%</w:t>
              <w:br/>
              <w:t>• 기타: 10%</w:t>
              <w:br/>
              <w:t>• 총 예산: TBD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마일스톤</w:t>
            </w:r>
          </w:p>
        </w:tc>
        <w:tc>
          <w:tcPr>
            <w:tcW w:type="dxa" w:w="6480"/>
          </w:tcPr>
          <w:p>
            <w:r>
              <w:t>• 착수: 2022.06</w:t>
              <w:br/>
              <w:t>• 설계완료: 2022.09</w:t>
              <w:br/>
              <w:t>• 개발완료: 2023.01</w:t>
              <w:br/>
              <w:t>• 오픈: 2023.03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조직 및 역할</w:t>
            </w:r>
          </w:p>
        </w:tc>
        <w:tc>
          <w:tcPr>
            <w:tcW w:type="dxa" w:w="6480"/>
          </w:tcPr>
          <w:p>
            <w:r>
              <w:t>• PM: 프로젝트 총괄</w:t>
              <w:br/>
              <w:t>• 개발팀: 시스템 개발</w:t>
              <w:br/>
              <w:t>• QA팀: 품질 관리</w:t>
              <w:br/>
              <w:t>• 인프라팀: 인프라 구축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스폰서 및 보고라인</w:t>
            </w:r>
          </w:p>
        </w:tc>
        <w:tc>
          <w:tcPr>
            <w:tcW w:type="dxa" w:w="6480"/>
          </w:tcPr>
          <w:p>
            <w:r>
              <w:t>• Sponsor: CEO</w:t>
              <w:br/>
              <w:t>• 보고 주기: 주간</w:t>
              <w:br/>
              <w:t>• 보고 방식: 서면/회의</w:t>
            </w:r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