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7163A068"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20639E07" w:rsidR="00957E41" w:rsidRPr="00957E41" w:rsidRDefault="00957E41" w:rsidP="00A4445B">
      <w:pPr>
        <w:snapToGrid w:val="0"/>
        <w:contextualSpacing/>
        <w:jc w:val="left"/>
        <w:rPr>
          <w:rFonts w:ascii="Yu Mincho" w:hAnsi="Yu Mincho" w:hint="eastAsia"/>
          <w:lang w:eastAsia="ja-JP"/>
        </w:rPr>
      </w:pPr>
      <w:r>
        <w:rPr>
          <w:rFonts w:ascii="Yu Mincho" w:hAnsi="Yu Mincho" w:hint="eastAsia"/>
          <w:lang w:eastAsia="ja-JP"/>
        </w:rPr>
        <w:t>1</w:t>
      </w:r>
      <w:r>
        <w:rPr>
          <w:rFonts w:ascii="Yu Mincho" w:hAnsi="Yu Mincho"/>
          <w:lang w:eastAsia="ja-JP"/>
        </w:rPr>
        <w:t>.</w:t>
      </w:r>
      <w:r>
        <w:rPr>
          <w:rFonts w:ascii="Yu Mincho" w:hAnsi="Yu Mincho" w:hint="eastAsia"/>
          <w:lang w:eastAsia="ja-JP"/>
        </w:rPr>
        <w:t>随着</w:t>
      </w:r>
      <w:r>
        <w:rPr>
          <w:rFonts w:ascii="Yu Mincho" w:hAnsi="Yu Mincho"/>
          <w:lang w:eastAsia="ja-JP"/>
        </w:rPr>
        <w:t>…</w:t>
      </w:r>
      <w:r w:rsidR="00694F92">
        <w:rPr>
          <w:rFonts w:ascii="Yu Mincho" w:hAnsi="Yu Mincho"/>
          <w:lang w:eastAsia="ja-JP"/>
        </w:rPr>
        <w:t xml:space="preserve">  </w:t>
      </w:r>
      <w:r w:rsidR="007813D5">
        <w:rPr>
          <w:rFonts w:ascii="Yu Mincho" w:hAnsi="Yu Mincho"/>
          <w:lang w:eastAsia="ja-JP"/>
        </w:rPr>
        <w:t xml:space="preserve">  </w:t>
      </w:r>
      <w:r w:rsidR="00587CB8">
        <w:rPr>
          <w:rFonts w:ascii="Yu Mincho" w:hAnsi="Yu Mincho"/>
          <w:lang w:eastAsia="ja-JP"/>
        </w:rPr>
        <w:t xml:space="preserve">   </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按照</w:t>
      </w:r>
      <w:r>
        <w:rPr>
          <w:rFonts w:ascii="Yu Mincho" w:hAnsi="Yu Mincho"/>
          <w:lang w:eastAsia="ja-JP"/>
        </w:rPr>
        <w:t>…</w:t>
      </w:r>
    </w:p>
    <w:p w14:paraId="3AC575AB" w14:textId="4A36A221" w:rsidR="00A4445B" w:rsidRPr="000122F8"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r w:rsidR="000122F8">
        <w:rPr>
          <w:rFonts w:ascii="Yu Mincho" w:hAnsi="Yu Mincho" w:hint="eastAsia"/>
          <w:lang w:eastAsia="ja-JP"/>
        </w:rPr>
        <w:t xml:space="preserve"> </w:t>
      </w:r>
      <w:r w:rsidR="000122F8">
        <w:rPr>
          <w:rFonts w:ascii="Yu Mincho" w:hAnsi="Yu Mincho" w:hint="eastAsia"/>
          <w:lang w:eastAsia="ja-JP"/>
        </w:rPr>
        <w:t>不仅</w:t>
      </w:r>
      <w:r w:rsidR="000122F8">
        <w:rPr>
          <w:rFonts w:ascii="Yu Mincho" w:hAnsi="Yu Mincho"/>
          <w:lang w:eastAsia="ja-JP"/>
        </w:rPr>
        <w:t>…</w:t>
      </w:r>
      <w:r w:rsidR="000122F8">
        <w:rPr>
          <w:rFonts w:ascii="Yu Mincho" w:hAnsi="Yu Mincho" w:hint="eastAsia"/>
          <w:lang w:eastAsia="ja-JP"/>
        </w:rPr>
        <w:t>而且，不仅</w:t>
      </w:r>
      <w:r w:rsidR="000122F8">
        <w:rPr>
          <w:rFonts w:ascii="Yu Mincho" w:hAnsi="Yu Mincho"/>
          <w:lang w:eastAsia="ja-JP"/>
        </w:rPr>
        <w:t>…</w:t>
      </w:r>
      <w:r w:rsidR="000122F8">
        <w:rPr>
          <w:rFonts w:ascii="Yu Mincho" w:hAnsi="Yu Mincho" w:hint="eastAsia"/>
        </w:rPr>
        <w:t>甚至。表示递进，程度由低到高。</w:t>
      </w:r>
    </w:p>
    <w:p w14:paraId="443FEED2" w14:textId="4A7DBF67"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r w:rsidR="00DE28E0">
        <w:rPr>
          <w:rFonts w:ascii="Yu Mincho" w:hAnsi="Yu Mincho" w:hint="eastAsia"/>
          <w:lang w:eastAsia="ja-JP"/>
        </w:rPr>
        <w:t xml:space="preserve"> </w:t>
      </w:r>
      <w:r w:rsidR="00DE28E0">
        <w:rPr>
          <w:rFonts w:ascii="Yu Mincho" w:hAnsi="Yu Mincho"/>
          <w:lang w:eastAsia="ja-JP"/>
        </w:rPr>
        <w:t xml:space="preserve"> </w:t>
      </w:r>
    </w:p>
    <w:p w14:paraId="5524B1E0" w14:textId="30F5E8A6" w:rsidR="008916EE" w:rsidRDefault="008916E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2EF29742" w14:textId="395FD2DB" w:rsidR="008916EE" w:rsidRPr="00DE28E0" w:rsidRDefault="008916EE"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表示希望</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A5AC" w14:textId="77777777" w:rsidR="004971A9" w:rsidRDefault="004971A9" w:rsidP="00005D3A">
      <w:r>
        <w:separator/>
      </w:r>
    </w:p>
  </w:endnote>
  <w:endnote w:type="continuationSeparator" w:id="0">
    <w:p w14:paraId="24C5C045" w14:textId="77777777" w:rsidR="004971A9" w:rsidRDefault="004971A9"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7696" w14:textId="77777777" w:rsidR="004971A9" w:rsidRDefault="004971A9" w:rsidP="00005D3A">
      <w:r>
        <w:separator/>
      </w:r>
    </w:p>
  </w:footnote>
  <w:footnote w:type="continuationSeparator" w:id="0">
    <w:p w14:paraId="36885D48" w14:textId="77777777" w:rsidR="004971A9" w:rsidRDefault="004971A9"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122F8"/>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971A9"/>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87CB8"/>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4F92"/>
    <w:rsid w:val="006950BC"/>
    <w:rsid w:val="006A7D29"/>
    <w:rsid w:val="006B6595"/>
    <w:rsid w:val="006C303F"/>
    <w:rsid w:val="006C7383"/>
    <w:rsid w:val="006D39A5"/>
    <w:rsid w:val="006E0A01"/>
    <w:rsid w:val="006E2098"/>
    <w:rsid w:val="006E2FF2"/>
    <w:rsid w:val="006E4BA6"/>
    <w:rsid w:val="006F0824"/>
    <w:rsid w:val="006F6316"/>
    <w:rsid w:val="0070380E"/>
    <w:rsid w:val="00717286"/>
    <w:rsid w:val="00727BC1"/>
    <w:rsid w:val="00751B19"/>
    <w:rsid w:val="00752FC0"/>
    <w:rsid w:val="00775B0B"/>
    <w:rsid w:val="007813D5"/>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16E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28E0"/>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32505</TotalTime>
  <Pages>1</Pages>
  <Words>3628</Words>
  <Characters>20684</Characters>
  <Application>Microsoft Office Word</Application>
  <DocSecurity>0</DocSecurity>
  <Lines>172</Lines>
  <Paragraphs>48</Paragraphs>
  <ScaleCrop>false</ScaleCrop>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208</cp:revision>
  <dcterms:created xsi:type="dcterms:W3CDTF">2021-05-24T13:21:00Z</dcterms:created>
  <dcterms:modified xsi:type="dcterms:W3CDTF">2021-07-04T13:15:00Z</dcterms:modified>
</cp:coreProperties>
</file>