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F9A8" w14:textId="77777777" w:rsidR="00745CF3" w:rsidRDefault="00745CF3">
      <w:pPr>
        <w:rPr>
          <w:rFonts w:hint="eastAsia"/>
        </w:rPr>
      </w:pPr>
    </w:p>
    <w:p w14:paraId="1ABA52D0" w14:textId="77777777" w:rsidR="00745CF3" w:rsidRDefault="00745CF3">
      <w:pPr>
        <w:rPr>
          <w:rFonts w:hint="eastAsia"/>
        </w:rPr>
      </w:pPr>
    </w:p>
    <w:p w14:paraId="7907B28D" w14:textId="77777777" w:rsidR="00745CF3" w:rsidRDefault="00745CF3">
      <w:pPr>
        <w:rPr>
          <w:rFonts w:hint="eastAsia"/>
        </w:rPr>
      </w:pPr>
    </w:p>
    <w:p w14:paraId="3759C5E2" w14:textId="77777777" w:rsidR="00745CF3" w:rsidRDefault="00745CF3">
      <w:pPr>
        <w:rPr>
          <w:rFonts w:hint="eastAsia"/>
        </w:rPr>
      </w:pPr>
    </w:p>
    <w:p w14:paraId="0A092FEB" w14:textId="77777777" w:rsidR="00745CF3" w:rsidRDefault="003B3223">
      <w:pPr>
        <w:spacing w:after="280"/>
        <w:jc w:val="center"/>
        <w:rPr>
          <w:rFonts w:hint="eastAsia"/>
        </w:rPr>
      </w:pPr>
      <w:r>
        <w:rPr>
          <w:rFonts w:cs="华文细黑"/>
          <w:b/>
          <w:color w:val="000000"/>
          <w:sz w:val="52"/>
        </w:rPr>
        <w:t>上海国际集团</w:t>
      </w:r>
    </w:p>
    <w:p w14:paraId="1D80026B" w14:textId="77777777" w:rsidR="00745CF3" w:rsidRDefault="003B3223">
      <w:pPr>
        <w:spacing w:after="280"/>
        <w:jc w:val="center"/>
        <w:rPr>
          <w:rFonts w:hint="eastAsia"/>
        </w:rPr>
      </w:pPr>
      <w:r>
        <w:rPr>
          <w:rFonts w:cs="华文细黑"/>
          <w:b/>
          <w:color w:val="000000"/>
          <w:sz w:val="52"/>
        </w:rPr>
        <w:t>业务功能需求说明书（一期）</w:t>
      </w:r>
    </w:p>
    <w:p w14:paraId="52E9979D" w14:textId="77777777" w:rsidR="00745CF3" w:rsidRDefault="003B3223">
      <w:pPr>
        <w:spacing w:after="280"/>
        <w:jc w:val="center"/>
        <w:rPr>
          <w:rFonts w:hint="eastAsia"/>
        </w:rPr>
      </w:pPr>
      <w:r>
        <w:rPr>
          <w:rFonts w:cs="华文细黑"/>
          <w:b/>
          <w:color w:val="000000"/>
          <w:sz w:val="52"/>
        </w:rPr>
        <w:t>风险并表板块</w:t>
      </w:r>
    </w:p>
    <w:p w14:paraId="666A4C95" w14:textId="77777777" w:rsidR="00745CF3" w:rsidRDefault="00745CF3">
      <w:pPr>
        <w:rPr>
          <w:rFonts w:hint="eastAsia"/>
        </w:rPr>
      </w:pPr>
    </w:p>
    <w:p w14:paraId="1708D536" w14:textId="77777777" w:rsidR="00745CF3" w:rsidRDefault="00745CF3">
      <w:pPr>
        <w:rPr>
          <w:rFonts w:hint="eastAsia"/>
        </w:rPr>
      </w:pPr>
    </w:p>
    <w:p w14:paraId="48E82D5E" w14:textId="7C53F06A" w:rsidR="00745CF3" w:rsidRDefault="003B3223">
      <w:pPr>
        <w:jc w:val="center"/>
        <w:rPr>
          <w:rFonts w:hint="eastAsia"/>
        </w:rPr>
      </w:pPr>
      <w:r>
        <w:rPr>
          <w:rFonts w:cs="华文细黑"/>
          <w:color w:val="000000"/>
        </w:rPr>
        <w:t>版本：V3.0</w:t>
      </w:r>
      <w:r w:rsidR="0081255B">
        <w:rPr>
          <w:rFonts w:cs="华文细黑" w:hint="eastAsia"/>
          <w:color w:val="000000"/>
        </w:rPr>
      </w:r>
      <w:r>
        <w:rPr>
          <w:rFonts w:cs="华文细黑"/>
          <w:color w:val="000000"/>
        </w:rPr>
      </w:r>
    </w:p>
    <w:p w14:paraId="0E214432" w14:textId="77777777" w:rsidR="00745CF3" w:rsidRDefault="003B3223">
      <w:pPr>
        <w:jc w:val="center"/>
        <w:rPr>
          <w:rFonts w:hint="eastAsia"/>
        </w:rPr>
      </w:pPr>
      <w:r>
        <w:rPr>
          <w:rFonts w:cs="华文细黑"/>
          <w:color w:val="000000"/>
        </w:rPr>
        <w:t>2026年8月</w:t>
      </w:r>
    </w:p>
    <w:p w14:paraId="2D41EBDC" w14:textId="77777777" w:rsidR="00745CF3" w:rsidRDefault="003B3223">
      <w:pPr>
        <w:rPr>
          <w:rFonts w:hint="eastAsia"/>
        </w:rPr>
      </w:pPr>
      <w:r>
        <w:br w:type="page"/>
      </w:r>
    </w:p>
    <w:p w14:paraId="55022B84"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496"/>
        <w:gridCol w:w="2659"/>
        <w:gridCol w:w="1496"/>
        <w:gridCol w:w="2658"/>
      </w:tblGrid>
      <w:tr w:rsidR="00745CF3" w14:paraId="07C60216" w14:textId="77777777">
        <w:trPr>
          <w:cantSplit/>
          <w:tblHeader/>
        </w:trPr>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sz w:val="22"/>
              </w:rPr>
              <w:t>信息项</w:t>
            </w:r>
          </w:p>
        </w:tc>
        <w:tc>
          <w:tcPr>
            <w:tcW w:w="2659"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sz w:val="22"/>
              </w:rPr>
              <w:t>内容</w:t>
            </w:r>
          </w:p>
        </w:tc>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sz w:val="22"/>
              </w:rPr>
              <w:t>信息项</w:t>
            </w:r>
          </w:p>
        </w:tc>
        <w:tc>
          <w:tcPr>
            <w:tcW w:w="2658"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sz w:val="22"/>
              </w:rPr>
              <w:t>内容</w:t>
            </w:r>
          </w:p>
        </w:tc>
      </w:tr>
      <w:tr w:rsidR="00745CF3" w14:paraId="6F900D62" w14:textId="77777777">
        <w:trPr>
          <w:cantSplit/>
        </w:trPr>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文档编号</w:t>
            </w:r>
          </w:p>
        </w:tc>
        <w:tc>
          <w:tcPr>
            <w:tcW w:w="2659"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SHGJ-RISK-BFRS-P1-V3.0</w:t>
            </w:r>
          </w:p>
        </w:tc>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保密等级</w:t>
            </w:r>
          </w:p>
        </w:tc>
        <w:tc>
          <w:tcPr>
            <w:tcW w:w="2658"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内部</w:t>
            </w:r>
          </w:p>
        </w:tc>
      </w:tr>
      <w:tr w:rsidR="00745CF3" w14:paraId="3C72EBB4" w14:textId="77777777">
        <w:trPr>
          <w:cantSplit/>
        </w:trPr>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文档名称</w:t>
            </w:r>
          </w:p>
        </w:tc>
        <w:tc>
          <w:tcPr>
            <w:tcW w:w="2659"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业务功能需求说明书（一期）</w:t>
            </w:r>
          </w:p>
        </w:tc>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业务板块</w:t>
            </w:r>
          </w:p>
        </w:tc>
        <w:tc>
          <w:tcPr>
            <w:tcW w:w="2658"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风险并表板块</w:t>
            </w:r>
          </w:p>
        </w:tc>
      </w:tr>
      <w:tr w:rsidR="00745CF3" w14:paraId="664675B8" w14:textId="77777777">
        <w:trPr>
          <w:cantSplit/>
        </w:trPr>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适用系统</w:t>
            </w:r>
          </w:p>
        </w:tc>
        <w:tc>
          <w:tcPr>
            <w:tcW w:w="2659"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集团并表管理系统</w:t>
            </w:r>
          </w:p>
        </w:tc>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文档版本</w:t>
            </w:r>
          </w:p>
        </w:tc>
        <w:tc>
          <w:tcPr>
            <w:tcW w:w="2658"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V3.0</w:t>
            </w:r>
          </w:p>
        </w:tc>
      </w:tr>
      <w:tr w:rsidR="00745CF3" w14:paraId="66DCFE34" w14:textId="77777777">
        <w:trPr>
          <w:cantSplit/>
        </w:trPr>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编制单位</w:t>
            </w:r>
          </w:p>
        </w:tc>
        <w:tc>
          <w:tcPr>
            <w:tcW w:w="2659"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项目组</w:t>
            </w:r>
          </w:p>
        </w:tc>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编制日期</w:t>
            </w:r>
          </w:p>
        </w:tc>
        <w:tc>
          <w:tcPr>
            <w:tcW w:w="2658"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2026-08-06</w:t>
            </w:r>
          </w:p>
        </w:tc>
      </w:tr>
    </w:tbl>
    <w:p w14:paraId="4710FCF0" w14:textId="77777777" w:rsidR="00745CF3" w:rsidRDefault="00745CF3">
      <w:pPr>
        <w:spacing w:after="40"/>
        <w:rPr>
          <w:rFonts w:hint="eastAsia"/>
        </w:rPr>
      </w:pPr>
    </w:p>
    <w:p w14:paraId="71C45A2D" w14:textId="77777777" w:rsidR="00745CF3" w:rsidRDefault="003B3223">
      <w:pPr>
        <w:rPr>
          <w:rFonts w:hint="eastAsia"/>
        </w:rPr>
      </w:pPr>
      <w:r>
        <w:br w:type="page"/>
      </w:r>
    </w:p>
    <w:p w14:paraId="14C46C22"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496"/>
        <w:gridCol w:w="1163"/>
        <w:gridCol w:w="4321"/>
        <w:gridCol w:w="1329"/>
      </w:tblGrid>
      <w:tr w:rsidR="00745CF3" w14:paraId="772727ED" w14:textId="77777777">
        <w:trPr>
          <w:cantSplit/>
          <w:tblHeader/>
        </w:trPr>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sz w:val="22"/>
              </w:rPr>
              <w:t>日期</w:t>
            </w:r>
          </w:p>
        </w:tc>
        <w:tc>
          <w:tcPr>
            <w:tcW w:w="1163"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sz w:val="22"/>
              </w:rPr>
              <w:t>版本</w:t>
            </w:r>
          </w:p>
        </w:tc>
        <w:tc>
          <w:tcPr>
            <w:tcW w:w="4321"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sz w:val="22"/>
              </w:rPr>
              <w:t>修订说明</w:t>
            </w:r>
          </w:p>
        </w:tc>
        <w:tc>
          <w:tcPr>
            <w:tcW w:w="1329"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sz w:val="22"/>
              </w:rPr>
              <w:t>修订人</w:t>
            </w:r>
          </w:p>
        </w:tc>
      </w:tr>
      <w:tr w:rsidR="00745CF3" w14:paraId="6C4ED8A9" w14:textId="77777777">
        <w:trPr>
          <w:cantSplit/>
        </w:trPr>
        <w:tc>
          <w:tcPr>
            <w:tcW w:w="1496"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2026-08-06</w:t>
            </w:r>
          </w:p>
        </w:tc>
        <w:tc>
          <w:tcPr>
            <w:tcW w:w="1163"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V3.0</w:t>
            </w:r>
          </w:p>
        </w:tc>
        <w:tc>
          <w:tcPr>
            <w:tcW w:w="4321" w:type="dxa"/>
            <w:tcMar>
              <w:top w:w="70" w:type="dxa"/>
              <w:left w:w="100" w:type="dxa"/>
              <w:bottom w:w="70" w:type="dxa"/>
              <w:right w:w="100" w:type="dxa"/>
              <w:start w:w="70" w:type="dxa"/>
              <w:end w:w="70" w:type="dxa"/>
            </w:tcMar>
            <w:vAlign w:val="cente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调整一期文档框架，明确四个核心模块、权限矩阵及拟设功能说明。</w:t>
            </w:r>
          </w:p>
        </w:tc>
        <w:tc>
          <w:tcPr>
            <w:tcW w:w="1329" w:type="dxa"/>
            <w:tcMar>
              <w:top w:w="70" w:type="dxa"/>
              <w:left w:w="100" w:type="dxa"/>
              <w:bottom w:w="70" w:type="dxa"/>
              <w:right w:w="100" w:type="dxa"/>
              <w:start w:w="70" w:type="dxa"/>
              <w:end w:w="70" w:type="dxa"/>
            </w:tcMar>
            <w:vAlign w:val="cente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项目组</w:t>
            </w:r>
          </w:p>
        </w:tc>
      </w:tr>
    </w:tbl>
    <w:p w14:paraId="27DAC54E" w14:textId="77777777" w:rsidR="00745CF3" w:rsidRDefault="00745CF3">
      <w:pPr>
        <w:spacing w:after="40"/>
        <w:rPr>
          <w:rFonts w:hint="eastAsia"/>
        </w:rPr>
      </w:pPr>
    </w:p>
    <w:p w14:paraId="0ED00932" w14:textId="77777777" w:rsidR="00745CF3" w:rsidRDefault="003B3223">
      <w:pPr>
        <w:rPr>
          <w:rFonts w:hint="eastAsia"/>
        </w:rPr>
      </w:pPr>
      <w:r>
        <w:br w:type="page"/>
      </w:r>
    </w:p>
    <w:p w14:paraId="5DFD7E0E"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76B62F2F" w14:textId="51DA3A0E" w:rsidR="00DC0644" w:rsidRDefault="00A11569">
      <w:pPr>
        <w:pStyle w:val="TOC1"/>
        <w:tabs>
          <w:tab w:val="right" w:leader="dot" w:pos="8296"/>
        </w:tabs>
        <w:rPr>
          <w:rFonts w:asciiTheme="minorHAnsi" w:eastAsiaTheme="minorEastAsia" w:hAnsiTheme="minorHAnsi" w:cstheme="minorBidi"/>
          <w:noProof/>
          <w:kern w:val="2"/>
          <w:szCs w:val="24"/>
          <w:lang w:eastAsia="zh-CN"/>
          <w14:ligatures w14:val="standardContextual"/>
        </w:rPr>
      </w:pPr>
      <w:r>
        <w:fldChar w:fldCharType="begin"/>
      </w:r>
      <w:r>
        <w:instrText xml:space="preserve"> TOC \o "1-3" \h \z \u </w:instrText>
      </w:r>
      <w:r>
        <w:fldChar w:fldCharType="separate"/>
      </w:r>
      <w:hyperlink w:anchor="_Toc236848306" w:history="1">
        <w:r w:rsidR="00DC0644" w:rsidRPr="00887AFC">
          <w:rPr>
            <w:rStyle w:val="af1"/>
            <w:rFonts w:hint="eastAsia"/>
            <w:noProof/>
          </w:rPr>
          <w:t>1 风险并表业务描述</w:t>
        </w:r>
        <w:r w:rsidR="00DC0644">
          <w:rPr>
            <w:rFonts w:hint="eastAsia"/>
            <w:noProof/>
            <w:webHidden/>
          </w:rPr>
          <w:tab/>
        </w:r>
        <w:r w:rsidR="00DC0644">
          <w:rPr>
            <w:rFonts w:hint="eastAsia"/>
            <w:noProof/>
            <w:webHidden/>
          </w:rPr>
          <w:fldChar w:fldCharType="begin"/>
        </w:r>
        <w:r w:rsidR="00DC0644">
          <w:rPr>
            <w:rFonts w:hint="eastAsia"/>
            <w:noProof/>
            <w:webHidden/>
          </w:rPr>
          <w:instrText xml:space="preserve"> </w:instrText>
        </w:r>
        <w:r w:rsidR="00DC0644">
          <w:rPr>
            <w:noProof/>
            <w:webHidden/>
          </w:rPr>
          <w:instrText>PAGEREF _Toc236848306 \h</w:instrText>
        </w:r>
        <w:r w:rsidR="00DC0644">
          <w:rPr>
            <w:rFonts w:hint="eastAsia"/>
            <w:noProof/>
            <w:webHidden/>
          </w:rPr>
          <w:instrText xml:space="preserve"> </w:instrText>
        </w:r>
        <w:r w:rsidR="00DC0644">
          <w:rPr>
            <w:rFonts w:hint="eastAsia"/>
            <w:noProof/>
            <w:webHidden/>
          </w:rPr>
        </w:r>
        <w:r w:rsidR="00DC0644">
          <w:rPr>
            <w:rFonts w:hint="eastAsia"/>
            <w:noProof/>
            <w:webHidden/>
          </w:rPr>
          <w:fldChar w:fldCharType="separate"/>
        </w:r>
        <w:r w:rsidR="00147FA5">
          <w:rPr>
            <w:rFonts w:hint="eastAsia"/>
            <w:noProof/>
            <w:webHidden/>
          </w:rPr>
          <w:t>5</w:t>
        </w:r>
        <w:r w:rsidR="00DC0644">
          <w:rPr>
            <w:rFonts w:hint="eastAsia"/>
            <w:noProof/>
            <w:webHidden/>
          </w:rPr>
          <w:fldChar w:fldCharType="end"/>
        </w:r>
      </w:hyperlink>
    </w:p>
    <w:p w14:paraId="463D0639" w14:textId="156BF906" w:rsidR="00DC0644" w:rsidRDefault="00DC0644">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07" w:history="1">
        <w:r w:rsidRPr="00887AFC">
          <w:rPr>
            <w:rStyle w:val="af1"/>
            <w:rFonts w:hint="eastAsia"/>
            <w:noProof/>
          </w:rPr>
          <w:t>2 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_Toc236848307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8</w:t>
        </w:r>
        <w:r>
          <w:rPr>
            <w:rFonts w:hint="eastAsia"/>
            <w:noProof/>
            <w:webHidden/>
          </w:rPr>
          <w:fldChar w:fldCharType="end"/>
        </w:r>
      </w:hyperlink>
    </w:p>
    <w:p w14:paraId="2E24A521" w14:textId="0281A2EF" w:rsidR="00DC0644" w:rsidRDefault="00DC0644">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08" w:history="1">
        <w:r w:rsidRPr="00887AFC">
          <w:rPr>
            <w:rStyle w:val="af1"/>
            <w:rFonts w:hint="eastAsia"/>
            <w:noProof/>
          </w:rPr>
          <w:t>3 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_Toc236848308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15</w:t>
        </w:r>
        <w:r>
          <w:rPr>
            <w:rFonts w:hint="eastAsia"/>
            <w:noProof/>
            <w:webHidden/>
          </w:rPr>
          <w:fldChar w:fldCharType="end"/>
        </w:r>
      </w:hyperlink>
    </w:p>
    <w:p w14:paraId="4EDFB675" w14:textId="60A763F4"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09" w:history="1">
        <w:r w:rsidRPr="00887AFC">
          <w:rPr>
            <w:rStyle w:val="af1"/>
            <w:rFonts w:hint="eastAsia"/>
            <w:noProof/>
          </w:rPr>
          <w:t>3.1 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_Toc236848309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16</w:t>
        </w:r>
        <w:r>
          <w:rPr>
            <w:rFonts w:hint="eastAsia"/>
            <w:noProof/>
            <w:webHidden/>
          </w:rPr>
          <w:fldChar w:fldCharType="end"/>
        </w:r>
      </w:hyperlink>
    </w:p>
    <w:p w14:paraId="77678DAD" w14:textId="05C3D8FF"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10" w:history="1">
        <w:r w:rsidRPr="00887AFC">
          <w:rPr>
            <w:rStyle w:val="af1"/>
            <w:rFonts w:hint="eastAsia"/>
            <w:noProof/>
          </w:rPr>
          <w:t>3.2 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_Toc236848310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25</w:t>
        </w:r>
        <w:r>
          <w:rPr>
            <w:rFonts w:hint="eastAsia"/>
            <w:noProof/>
            <w:webHidden/>
          </w:rPr>
          <w:fldChar w:fldCharType="end"/>
        </w:r>
      </w:hyperlink>
    </w:p>
    <w:p w14:paraId="5AB32A9F" w14:textId="73AD0D64"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11" w:history="1">
        <w:r w:rsidRPr="00887AFC">
          <w:rPr>
            <w:rStyle w:val="af1"/>
            <w:rFonts w:hint="eastAsia"/>
            <w:noProof/>
          </w:rPr>
          <w:t>3.3 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_Toc236848311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28</w:t>
        </w:r>
        <w:r>
          <w:rPr>
            <w:rFonts w:hint="eastAsia"/>
            <w:noProof/>
            <w:webHidden/>
          </w:rPr>
          <w:fldChar w:fldCharType="end"/>
        </w:r>
      </w:hyperlink>
    </w:p>
    <w:p w14:paraId="2676EA82" w14:textId="3FCB07D7"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2" w:history="1">
        <w:r w:rsidRPr="00887AFC">
          <w:rPr>
            <w:rStyle w:val="af1"/>
            <w:rFonts w:hint="eastAsia"/>
          </w:rPr>
          <w:t>3.3.1 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_Toc236848312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30</w:t>
        </w:r>
        <w:r>
          <w:rPr>
            <w:rFonts w:hint="eastAsia"/>
            <w:webHidden/>
          </w:rPr>
          <w:fldChar w:fldCharType="end"/>
        </w:r>
      </w:hyperlink>
    </w:p>
    <w:p w14:paraId="3B0F4169" w14:textId="2ED28115"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3" w:history="1">
        <w:r w:rsidRPr="00887AFC">
          <w:rPr>
            <w:rStyle w:val="af1"/>
            <w:rFonts w:hint="eastAsia"/>
          </w:rPr>
          <w:t>3.3.2 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_Toc236848313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43</w:t>
        </w:r>
        <w:r>
          <w:rPr>
            <w:rFonts w:hint="eastAsia"/>
            <w:webHidden/>
          </w:rPr>
          <w:fldChar w:fldCharType="end"/>
        </w:r>
      </w:hyperlink>
    </w:p>
    <w:p w14:paraId="534D3E39" w14:textId="0F78913F"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4" w:history="1">
        <w:r w:rsidRPr="00887AFC">
          <w:rPr>
            <w:rStyle w:val="af1"/>
            <w:rFonts w:hint="eastAsia"/>
          </w:rPr>
          <w:t>3.3.3 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_Toc236848314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60</w:t>
        </w:r>
        <w:r>
          <w:rPr>
            <w:rFonts w:hint="eastAsia"/>
            <w:webHidden/>
          </w:rPr>
          <w:fldChar w:fldCharType="end"/>
        </w:r>
      </w:hyperlink>
    </w:p>
    <w:p w14:paraId="5558EBD2" w14:textId="6C859C7B"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5" w:history="1">
        <w:r w:rsidRPr="00887AFC">
          <w:rPr>
            <w:rStyle w:val="af1"/>
            <w:rFonts w:hint="eastAsia"/>
          </w:rPr>
          <w:t>3.3.4 二级菜单—集中度风险监测</w:t>
        </w:r>
        <w:r>
          <w:rPr>
            <w:rFonts w:hint="eastAsia"/>
            <w:webHidden/>
          </w:rPr>
          <w:tab/>
        </w:r>
        <w:r>
          <w:rPr>
            <w:rFonts w:hint="eastAsia"/>
            <w:webHidden/>
          </w:rPr>
          <w:fldChar w:fldCharType="begin"/>
        </w:r>
        <w:r>
          <w:rPr>
            <w:rFonts w:hint="eastAsia"/>
            <w:webHidden/>
          </w:rPr>
          <w:instrText xml:space="preserve"> </w:instrText>
        </w:r>
        <w:r>
          <w:rPr>
            <w:webHidden/>
          </w:rPr>
          <w:instrText>PAGEREF _Toc236848315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64</w:t>
        </w:r>
        <w:r>
          <w:rPr>
            <w:rFonts w:hint="eastAsia"/>
            <w:webHidden/>
          </w:rPr>
          <w:fldChar w:fldCharType="end"/>
        </w:r>
      </w:hyperlink>
    </w:p>
    <w:p w14:paraId="4F5BAC55" w14:textId="0A34F203"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16" w:history="1">
        <w:r w:rsidRPr="00887AFC">
          <w:rPr>
            <w:rStyle w:val="af1"/>
            <w:rFonts w:hint="eastAsia"/>
            <w:noProof/>
          </w:rPr>
          <w:t>3.4 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_Toc236848316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78</w:t>
        </w:r>
        <w:r>
          <w:rPr>
            <w:rFonts w:hint="eastAsia"/>
            <w:noProof/>
            <w:webHidden/>
          </w:rPr>
          <w:fldChar w:fldCharType="end"/>
        </w:r>
      </w:hyperlink>
    </w:p>
    <w:p w14:paraId="0AEF18F1" w14:textId="513B4A3F"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7" w:history="1">
        <w:r w:rsidRPr="00887AFC">
          <w:rPr>
            <w:rStyle w:val="af1"/>
            <w:rFonts w:hint="eastAsia"/>
          </w:rPr>
          <w:t>3.4.1 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_Toc236848317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78</w:t>
        </w:r>
        <w:r>
          <w:rPr>
            <w:rFonts w:hint="eastAsia"/>
            <w:webHidden/>
          </w:rPr>
          <w:fldChar w:fldCharType="end"/>
        </w:r>
      </w:hyperlink>
    </w:p>
    <w:p w14:paraId="119C83C9" w14:textId="1A6463FE"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8" w:history="1">
        <w:r w:rsidRPr="00887AFC">
          <w:rPr>
            <w:rStyle w:val="af1"/>
            <w:rFonts w:hint="eastAsia"/>
          </w:rPr>
          <w:t>3.4.2 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_Toc236848318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82</w:t>
        </w:r>
        <w:r>
          <w:rPr>
            <w:rFonts w:hint="eastAsia"/>
            <w:webHidden/>
          </w:rPr>
          <w:fldChar w:fldCharType="end"/>
        </w:r>
      </w:hyperlink>
    </w:p>
    <w:p w14:paraId="3C786C45" w14:textId="64285469"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19" w:history="1">
        <w:r w:rsidRPr="00887AFC">
          <w:rPr>
            <w:rStyle w:val="af1"/>
            <w:rFonts w:hint="eastAsia"/>
          </w:rPr>
          <w:t>3.4.3 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_Toc236848319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86</w:t>
        </w:r>
        <w:r>
          <w:rPr>
            <w:rFonts w:hint="eastAsia"/>
            <w:webHidden/>
          </w:rPr>
          <w:fldChar w:fldCharType="end"/>
        </w:r>
      </w:hyperlink>
    </w:p>
    <w:p w14:paraId="72DE5A05" w14:textId="2D8C9E13"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20" w:history="1">
        <w:r w:rsidRPr="00887AFC">
          <w:rPr>
            <w:rStyle w:val="af1"/>
            <w:rFonts w:hint="eastAsia"/>
            <w:noProof/>
          </w:rPr>
          <w:t>3.5 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_Toc236848320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92</w:t>
        </w:r>
        <w:r>
          <w:rPr>
            <w:rFonts w:hint="eastAsia"/>
            <w:noProof/>
            <w:webHidden/>
          </w:rPr>
          <w:fldChar w:fldCharType="end"/>
        </w:r>
      </w:hyperlink>
    </w:p>
    <w:p w14:paraId="5730728B" w14:textId="3B71ECFD"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1" w:history="1">
        <w:r w:rsidRPr="00887AFC">
          <w:rPr>
            <w:rStyle w:val="af1"/>
            <w:rFonts w:hint="eastAsia"/>
          </w:rPr>
          <w:t>3.5.1 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_Toc236848321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93</w:t>
        </w:r>
        <w:r>
          <w:rPr>
            <w:rFonts w:hint="eastAsia"/>
            <w:webHidden/>
          </w:rPr>
          <w:fldChar w:fldCharType="end"/>
        </w:r>
      </w:hyperlink>
    </w:p>
    <w:p w14:paraId="78A71ABB" w14:textId="25D8C0D7"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2" w:history="1">
        <w:r w:rsidRPr="00887AFC">
          <w:rPr>
            <w:rStyle w:val="af1"/>
            <w:rFonts w:hint="eastAsia"/>
          </w:rPr>
          <w:t>3.5.2 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_Toc236848322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101</w:t>
        </w:r>
        <w:r>
          <w:rPr>
            <w:rFonts w:hint="eastAsia"/>
            <w:webHidden/>
          </w:rPr>
          <w:fldChar w:fldCharType="end"/>
        </w:r>
      </w:hyperlink>
    </w:p>
    <w:p w14:paraId="3DB968C7" w14:textId="4F3D85B2"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23" w:history="1">
        <w:r w:rsidRPr="00887AFC">
          <w:rPr>
            <w:rStyle w:val="af1"/>
            <w:rFonts w:hint="eastAsia"/>
            <w:noProof/>
          </w:rPr>
          <w:t>3.6 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_Toc236848323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119</w:t>
        </w:r>
        <w:r>
          <w:rPr>
            <w:rFonts w:hint="eastAsia"/>
            <w:noProof/>
            <w:webHidden/>
          </w:rPr>
          <w:fldChar w:fldCharType="end"/>
        </w:r>
      </w:hyperlink>
    </w:p>
    <w:p w14:paraId="0CF5630D" w14:textId="69EFB440"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4" w:history="1">
        <w:r w:rsidRPr="00887AFC">
          <w:rPr>
            <w:rStyle w:val="af1"/>
            <w:rFonts w:hint="eastAsia"/>
          </w:rPr>
          <w:t>3.6.1 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_Toc236848324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119</w:t>
        </w:r>
        <w:r>
          <w:rPr>
            <w:rFonts w:hint="eastAsia"/>
            <w:webHidden/>
          </w:rPr>
          <w:fldChar w:fldCharType="end"/>
        </w:r>
      </w:hyperlink>
    </w:p>
    <w:p w14:paraId="3CE5AB83" w14:textId="21A073D6"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25" w:history="1">
        <w:r w:rsidRPr="00887AFC">
          <w:rPr>
            <w:rStyle w:val="af1"/>
            <w:rFonts w:hint="eastAsia"/>
            <w:noProof/>
          </w:rPr>
          <w:t>3.7 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_Toc236848325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123</w:t>
        </w:r>
        <w:r>
          <w:rPr>
            <w:rFonts w:hint="eastAsia"/>
            <w:noProof/>
            <w:webHidden/>
          </w:rPr>
          <w:fldChar w:fldCharType="end"/>
        </w:r>
      </w:hyperlink>
    </w:p>
    <w:p w14:paraId="51F1867F" w14:textId="2C02DC62"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6" w:history="1">
        <w:r w:rsidRPr="00887AFC">
          <w:rPr>
            <w:rStyle w:val="af1"/>
            <w:rFonts w:hint="eastAsia"/>
          </w:rPr>
          <w:t>3.7.1 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_Toc236848326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124</w:t>
        </w:r>
        <w:r>
          <w:rPr>
            <w:rFonts w:hint="eastAsia"/>
            <w:webHidden/>
          </w:rPr>
          <w:fldChar w:fldCharType="end"/>
        </w:r>
      </w:hyperlink>
    </w:p>
    <w:p w14:paraId="39C1A209" w14:textId="162FD878"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27" w:history="1">
        <w:r w:rsidRPr="00887AFC">
          <w:rPr>
            <w:rStyle w:val="af1"/>
            <w:rFonts w:hint="eastAsia"/>
            <w:noProof/>
          </w:rPr>
          <w:t>3.8 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_Toc236848327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131</w:t>
        </w:r>
        <w:r>
          <w:rPr>
            <w:rFonts w:hint="eastAsia"/>
            <w:noProof/>
            <w:webHidden/>
          </w:rPr>
          <w:fldChar w:fldCharType="end"/>
        </w:r>
      </w:hyperlink>
    </w:p>
    <w:p w14:paraId="5471FC53" w14:textId="631FA748"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8" w:history="1">
        <w:r w:rsidRPr="00887AFC">
          <w:rPr>
            <w:rStyle w:val="af1"/>
            <w:rFonts w:hint="eastAsia"/>
          </w:rPr>
          <w:t>3.8.1 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_Toc236848328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131</w:t>
        </w:r>
        <w:r>
          <w:rPr>
            <w:rFonts w:hint="eastAsia"/>
            <w:webHidden/>
          </w:rPr>
          <w:fldChar w:fldCharType="end"/>
        </w:r>
      </w:hyperlink>
    </w:p>
    <w:p w14:paraId="33E9D9D0" w14:textId="102AFEA8"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29" w:history="1">
        <w:r w:rsidRPr="00887AFC">
          <w:rPr>
            <w:rStyle w:val="af1"/>
            <w:rFonts w:hint="eastAsia"/>
          </w:rPr>
          <w:t>3.8.2 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_Toc236848329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138</w:t>
        </w:r>
        <w:r>
          <w:rPr>
            <w:rFonts w:hint="eastAsia"/>
            <w:webHidden/>
          </w:rPr>
          <w:fldChar w:fldCharType="end"/>
        </w:r>
      </w:hyperlink>
    </w:p>
    <w:p w14:paraId="2D55DC5A" w14:textId="7725CD05" w:rsidR="00DC0644" w:rsidRDefault="00DC0644">
      <w:pPr>
        <w:pStyle w:val="TOC3"/>
        <w:rPr>
          <w:rFonts w:asciiTheme="minorHAnsi" w:eastAsiaTheme="minorEastAsia" w:hAnsiTheme="minorHAnsi" w:cstheme="minorBidi"/>
          <w:b w:val="0"/>
          <w:kern w:val="2"/>
          <w:szCs w:val="24"/>
          <w:lang w:eastAsia="zh-CN"/>
          <w14:ligatures w14:val="standardContextual"/>
        </w:rPr>
      </w:pPr>
      <w:hyperlink w:anchor="_Toc236848330" w:history="1">
        <w:r w:rsidRPr="00887AFC">
          <w:rPr>
            <w:rStyle w:val="af1"/>
            <w:rFonts w:hint="eastAsia"/>
          </w:rPr>
          <w:t>3.8.3 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_Toc236848330 \h</w:instrText>
        </w:r>
        <w:r>
          <w:rPr>
            <w:rFonts w:hint="eastAsia"/>
            <w:webHidden/>
          </w:rPr>
          <w:instrText xml:space="preserve"> </w:instrText>
        </w:r>
        <w:r>
          <w:rPr>
            <w:rFonts w:hint="eastAsia"/>
            <w:webHidden/>
          </w:rPr>
        </w:r>
        <w:r>
          <w:rPr>
            <w:rFonts w:hint="eastAsia"/>
            <w:webHidden/>
          </w:rPr>
          <w:fldChar w:fldCharType="separate"/>
        </w:r>
        <w:r w:rsidR="00147FA5">
          <w:rPr>
            <w:rFonts w:hint="eastAsia"/>
            <w:webHidden/>
          </w:rPr>
          <w:t>142</w:t>
        </w:r>
        <w:r>
          <w:rPr>
            <w:rFonts w:hint="eastAsia"/>
            <w:webHidden/>
          </w:rPr>
          <w:fldChar w:fldCharType="end"/>
        </w:r>
      </w:hyperlink>
    </w:p>
    <w:p w14:paraId="51F32FBA" w14:textId="588C13BD" w:rsidR="00DC0644" w:rsidRDefault="00DC0644">
      <w:pPr>
        <w:pStyle w:val="TOC1"/>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31" w:history="1">
        <w:r w:rsidRPr="00887AFC">
          <w:rPr>
            <w:rStyle w:val="af1"/>
            <w:rFonts w:hint="eastAsia"/>
            <w:noProof/>
          </w:rPr>
          <w:t>4 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_Toc236848331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146</w:t>
        </w:r>
        <w:r>
          <w:rPr>
            <w:rFonts w:hint="eastAsia"/>
            <w:noProof/>
            <w:webHidden/>
          </w:rPr>
          <w:fldChar w:fldCharType="end"/>
        </w:r>
      </w:hyperlink>
    </w:p>
    <w:p w14:paraId="797AD3E6" w14:textId="605BD6AA" w:rsidR="00DC0644" w:rsidRDefault="00DC0644">
      <w:pPr>
        <w:pStyle w:val="TOC2"/>
        <w:tabs>
          <w:tab w:val="right" w:leader="dot" w:pos="8296"/>
        </w:tabs>
        <w:rPr>
          <w:rFonts w:asciiTheme="minorHAnsi" w:eastAsiaTheme="minorEastAsia" w:hAnsiTheme="minorHAnsi" w:cstheme="minorBidi"/>
          <w:noProof/>
          <w:kern w:val="2"/>
          <w:szCs w:val="24"/>
          <w:lang w:eastAsia="zh-CN"/>
          <w14:ligatures w14:val="standardContextual"/>
        </w:rPr>
      </w:pPr>
      <w:hyperlink w:anchor="_Toc236848332" w:history="1">
        <w:r w:rsidRPr="00887AFC">
          <w:rPr>
            <w:rStyle w:val="af1"/>
            <w:rFonts w:hint="eastAsia"/>
            <w:noProof/>
          </w:rPr>
          <w:t>4.1 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_Toc236848332 \h</w:instrText>
        </w:r>
        <w:r>
          <w:rPr>
            <w:rFonts w:hint="eastAsia"/>
            <w:noProof/>
            <w:webHidden/>
          </w:rPr>
          <w:instrText xml:space="preserve"> </w:instrText>
        </w:r>
        <w:r>
          <w:rPr>
            <w:rFonts w:hint="eastAsia"/>
            <w:noProof/>
            <w:webHidden/>
          </w:rPr>
        </w:r>
        <w:r>
          <w:rPr>
            <w:rFonts w:hint="eastAsia"/>
            <w:noProof/>
            <w:webHidden/>
          </w:rPr>
          <w:fldChar w:fldCharType="separate"/>
        </w:r>
        <w:r w:rsidR="00147FA5">
          <w:rPr>
            <w:rFonts w:hint="eastAsia"/>
            <w:noProof/>
            <w:webHidden/>
          </w:rPr>
          <w:t>146</w:t>
        </w:r>
        <w:r>
          <w:rPr>
            <w:rFonts w:hint="eastAsia"/>
            <w:noProof/>
            <w:webHidden/>
          </w:rPr>
          <w:fldChar w:fldCharType="end"/>
        </w:r>
      </w:hyperlink>
    </w:p>
    <w:p w14:paraId="4DC7AFA0" w14:textId="78201CE1" w:rsidR="00A11569" w:rsidRDefault="00A11569" w:rsidP="00A11569">
      <w:pPr>
        <w:rPr>
          <w:rFonts w:hint="eastAsia"/>
        </w:rPr>
      </w:pPr>
      <w:r>
        <w:rPr>
          <w:b/>
          <w:bCs/>
          <w:noProof/>
        </w:rPr>
        <w:fldChar w:fldCharType="end"/>
      </w:r>
    </w:p>
    <w:p w14:paraId="00A9780D" w14:textId="77777777" w:rsidR="008A4F3A" w:rsidRDefault="008A4F3A">
      <w:pPr>
        <w:rPr>
          <w:rFonts w:hint="eastAsia"/>
        </w:rPr>
      </w:pPr>
    </w:p>
    <w:p>
      <w:pPr>
        <w:pStyle w:val="1"/>
        <w:pageBreakBefore/>
      </w:pPr>
      <w:r>
        <w:t>名词解释</w:t>
      </w:r>
    </w:p>
    <w:p>
      <w:pPr>
        <w:pStyle w:val="21"/>
        <w:jc w:val="both"/>
      </w:pPr>
      <w:r>
        <w:t>本章对一期业务功能需求中使用的主要业务术语进行统一说明。</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153"/>
        <w:gridCol w:w="4153"/>
      </w:tblGrid>
      <w:tr>
        <w:trPr>
          <w:tblHeader w:val="true"/>
        </w:trP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名词</w:t>
            </w:r>
          </w:p>
        </w:tc>
        <w:tc>
          <w:tcPr>
            <w:tcW w:type="dxa" w:w="6520"/>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解释</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集团并表风险偏好</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集团在并表管理范围内，结合战略目标、监管要求和风险承受能力，对可接受风险类型、水平及边界作出的总体表述。</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风险偏好目标</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对集团并表风险偏好进行量化或可监测化分解后形成的阶段性管理目标。</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风险偏好指标</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用于反映集团并表风险偏好目标执行情况，并配置适用机构、监测频率和阈值的指标。</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金融机构风险限额</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依据集团风险偏好和金融机构业务特征，对纳入并表金融机构相关风险指标设定的管理边界。</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风险限额指标</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用于度量金融机构风险限额执行情况并开展阈值判断的具体指标。</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风险并表指标</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按照统一口径对纳入并表金融机构相关风险数据进行计算、汇总或展示的指标。</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风险监测</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按照规定频率采集或接收数据，计算风险指标并持续识别指标状态变化的管理活动。</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风险预警</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风险指标达到或突破设定阈值后，系统形成预警事项并推动反馈、处置、跟踪和解除的管理过程。</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红灯预警</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风险指标达到红灯阈值所形成的较高等级预警，原则上应及时反馈原因、制定处置方案并持续跟踪。</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黄灯预警</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风险指标达到黄灯阈值所形成的提示性预警，用于提醒相关主体分析原因并采取必要管理措施。</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风险指标重检</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因监管要求、市场环境或经营发展变化，申请重新核实指标定义、阈值或监测频率适用性的业务活动。</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风险报告</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基于风险偏好、风险限额、指标监测预警和重大风险事件等信息形成的风险管理报告。</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重大风险事件</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对金融机构经营、财务、声誉、合规或持续稳健运行可能产生重大影响，并需要按规定报告和处置的风险事项。</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首报</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重大风险事件发生或发现后首次提交的报告，主要说明事件基本情况、初步影响、已采取措施和处置安排。</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续报</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重大风险事件处置期间提交的阶段性报告，用于更新事件变化、风险影响和措施执行情况。</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终报</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重大风险事件处置基本完成后提交的总结性报告，用于说明处置结果、剩余风险和后续安排。</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集团</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上海国际集团本部及其按照并表管理职责参与风险统筹、管理审阅和重大事项决策的相关主体。</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国资公司</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在集团并表管理架构中承担监测分析、方案管理、流程组织及协同职责的金控公司（国资公司）。</w:t>
            </w:r>
          </w:p>
        </w:tc>
      </w:tr>
      <w:tr>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纳入并表的金融机构</w:t>
            </w:r>
          </w:p>
        </w:tc>
        <w:tc>
          <w:tcPr>
            <w:tcW w:type="dxa" w:w="6520"/>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按照集团并表管理范围纳入统一风险监测、限额管理、报告和重大风险事件管理的金融机构。</w:t>
            </w:r>
          </w:p>
        </w:tc>
      </w:tr>
    </w:tbl>
    <w:p>
      <w:pPr>
        <w:pStyle w:val="1"/>
        <w:pageBreakBefore/>
      </w:pPr>
      <w:r>
        <w:t>概述</w:t>
      </w:r>
    </w:p>
    <w:p>
      <w:pPr>
        <w:pStyle w:val="21"/>
        <w:jc w:val="both"/>
      </w:pPr>
      <w:r>
        <w:t>一期业务功能需求聚焦集团风险并表管理的核心闭环，围绕集团并表风险偏好及目标、金融机构风险限额、风险并表指标监测预警和风险报告四个模块建设。系统支持集团、国资公司和纳入并表的金融机构按照职责协同开展方案设置、数据报送、指标监测、预警处置、报告审阅和重大风险事件管理。</w:t>
      </w:r>
    </w:p>
    <w:p>
      <w:pPr>
        <w:pStyle w:val="2"/>
      </w:pPr>
      <w:r>
        <w:t>集团并表风险偏好及目标</w:t>
      </w:r>
    </w:p>
    <w:p>
      <w:pPr>
        <w:pStyle w:val="21"/>
        <w:jc w:val="both"/>
      </w:pPr>
      <w:r>
        <w:t>系统围绕集团并表风险偏好及目标，支持偏好方案及目标维护、指标和阈值设置、适用机构及监测频率维护、监管要求和历史数据参考、参考阈值形成、年度设置方案形成、审阅审批、发布生效、监测报告、重检申请及动态调整等业务活动，并保留方案和指标的历史版本。</w:t>
      </w:r>
    </w:p>
    <w:p>
      <w:pPr>
        <w:pStyle w:val="2"/>
      </w:pPr>
      <w:r>
        <w:t>金融机构风险限额</w:t>
      </w:r>
    </w:p>
    <w:p>
      <w:pPr>
        <w:pStyle w:val="21"/>
        <w:jc w:val="both"/>
      </w:pPr>
      <w:r>
        <w:t>系统围绕纳入并表金融机构的风险限额，支持限额指标及阈值维护、历史数据参考、限额设置方案形成、与金融机构沟通确认、会签审批、发布生效、日常监测、运行报告、重检申请及动态调整等业务活动，并按照机构数据权限展示相关方案和指标。</w:t>
      </w:r>
    </w:p>
    <w:p>
      <w:pPr>
        <w:pStyle w:val="2"/>
      </w:pPr>
      <w:r>
        <w:t>风险并表指标监测预警</w:t>
      </w:r>
    </w:p>
    <w:p>
      <w:pPr>
        <w:pStyle w:val="21"/>
        <w:jc w:val="both"/>
      </w:pPr>
      <w:r>
        <w:t>系统根据生效的风险偏好及风险限额方案，接收或采集相关数据，完成指标计算、监测频率执行、阈值判断、红黄灯预警、提示函下发、原因反馈、处置方案制定、执行跟踪、预警解除及指标重检调整等闭环管理。一期集中度监测覆盖客户、行业和区域维度，并支持趋势查看和业务明细下钻。</w:t>
      </w:r>
    </w:p>
    <w:p>
      <w:pPr>
        <w:pStyle w:val="2"/>
      </w:pPr>
      <w:r>
        <w:t>风险报告</w:t>
      </w:r>
    </w:p>
    <w:p>
      <w:pPr>
        <w:pStyle w:val="21"/>
        <w:jc w:val="both"/>
      </w:pPr>
      <w:r>
        <w:t>系统支持根据风险偏好、风险限额和指标监测结果形成风险报表及风险报告，完成报告提交、审阅、反馈、发布和归档；同时支持重大风险事件的首报、核实、组织汇报、管理层或董事会审阅、处置方案、执行跟踪、续报、终报和归档管理。</w:t>
      </w:r>
    </w:p>
    <w:p>
      <w:pPr>
        <w:pStyle w:val="1"/>
        <w:pageBreakBefore/>
      </w:pPr>
      <w:r>
        <w:t>适用对象</w:t>
      </w:r>
    </w:p>
    <w:p>
      <w:pPr>
        <w:pStyle w:val="21"/>
        <w:jc w:val="both"/>
      </w:pPr>
      <w:r>
        <w:t>一期系统适用于集团、国资公司及纳入并表的各金融机构。当前并行期按照“集团实质管控、国资公司监测分析、金融机构执行反馈”的总体模式配置职责和数据权限；细分审批层级及职责下沉安排以最终确认的管理制度和流程为准。</w:t>
      </w:r>
    </w:p>
    <w:p>
      <w:pPr>
        <w:pStyle w:val="2"/>
      </w:pPr>
      <w:r>
        <w:t>集团</w:t>
      </w:r>
    </w:p>
    <w:p>
      <w:pPr>
        <w:pStyle w:val="21"/>
        <w:jc w:val="both"/>
      </w:pPr>
      <w:r>
        <w:t>集团侧包括董事会、经理层、金融机构管理部门和其他相关职能部门。集团主要承担并表风险统筹监督、重大事项决策、方案和报告审阅、风险处置协调及集团范围风险信息查看等职责。</w:t>
      </w:r>
    </w:p>
    <w:p>
      <w:pPr>
        <w:pStyle w:val="2"/>
      </w:pPr>
      <w:r>
        <w:t>国资公司</w:t>
      </w:r>
    </w:p>
    <w:p>
      <w:pPr>
        <w:pStyle w:val="21"/>
        <w:jc w:val="both"/>
      </w:pPr>
      <w:r>
        <w:t>国资公司侧包括董事会、经理层、金融机构管理部门和其他相关职能部门。国资公司主要承担风险偏好和限额方案管理、指标监测分析、预警及重大风险事件流程组织、报告编制和跨机构协同等职责。</w:t>
      </w:r>
    </w:p>
    <w:p>
      <w:pPr>
        <w:pStyle w:val="2"/>
      </w:pPr>
      <w:r>
        <w:t>各金融机构</w:t>
      </w:r>
    </w:p>
    <w:p>
      <w:pPr>
        <w:pStyle w:val="21"/>
        <w:jc w:val="both"/>
      </w:pPr>
      <w:r>
        <w:t>各金融机构侧包括董事会、经理层、主要责任部门和其他相关职能部门。各金融机构主要承担本机构数据报送、方案沟通确认、预警原因反馈、处置方案执行、重大风险事件报告和相关材料提交等职责，并仅访问本机构权限范围内的数据。</w:t>
      </w:r>
    </w:p>
    <w:p>
      <w:pPr>
        <w:pStyle w:val="1"/>
        <w:pageBreakBefore/>
      </w:pPr>
      <w:r>
        <w:t>权限管理</w:t>
      </w:r>
    </w:p>
    <w:p>
      <w:pPr>
        <w:pStyle w:val="2"/>
      </w:pPr>
      <w:r>
        <w:t>权限矩阵说明</w:t>
      </w:r>
    </w:p>
    <w:p>
      <w:pPr>
        <w:pStyle w:val="21"/>
        <w:jc w:val="both"/>
      </w:pPr>
      <w:r>
        <w:t>权限矩阵按照集团、国资公司和各金融机构三类适用对象设置，每类对象进一步划分为董事会、经理层、金融机构管理部门（或主要责任部门）和其他相关职能部门四个层级。单元格填写“√”表示现有材料可支持该层级具备相应职责或权限；留空表示现有材料未体现其职责；材料对具体审批层级或职责归属尚未明确的填写“待确认”。各金融机构的数据权限原则上限定为本机构范围。</w:t>
      </w:r>
    </w:p>
    <w:p>
      <w:pPr>
        <w:sectPr>
          <w:headerReference w:type="default" r:id="rId50"/>
          <w:footerReference w:type="default" r:id="rId51"/>
          <w:pgSz w:w="11906" w:h="16838"/>
          <w:pgMar w:top="1440" w:right="1800" w:bottom="1440" w:left="1800" w:header="850" w:footer="850" w:gutter="0"/>
          <w:cols w:space="708"/>
          <w:docGrid w:linePitch="360"/>
        </w:sectPr>
      </w:pPr>
    </w:p>
    <w:p>
      <w:pPr>
        <w:pStyle w:val="2"/>
      </w:pPr>
      <w:r>
        <w:t>集团并表风险偏好及目标权限表</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1"/>
        <w:gridCol w:w="1081"/>
        <w:gridCol w:w="1081"/>
        <w:gridCol w:w="1081"/>
        <w:gridCol w:w="1081"/>
        <w:gridCol w:w="1081"/>
        <w:gridCol w:w="1081"/>
        <w:gridCol w:w="1081"/>
        <w:gridCol w:w="1081"/>
        <w:gridCol w:w="1081"/>
        <w:gridCol w:w="1081"/>
        <w:gridCol w:w="1081"/>
        <w:gridCol w:w="1081"/>
        <w:gridCol w:w="1081"/>
      </w:tblGrid>
      <w:tr>
        <w:trPr>
          <w:tblHeader w:val="true"/>
        </w:trPr>
        <w:tc>
          <w:tcPr>
            <w:tcW w:type="dxa" w:w="454"/>
            <w:vMerge w:val="restart"/>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序号</w:t>
            </w:r>
          </w:p>
        </w:tc>
        <w:tc>
          <w:tcPr>
            <w:tcW w:type="dxa" w:w="2835"/>
            <w:vMerge w:val="restart"/>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功能点</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集团</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国资公司</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各金融机构</w:t>
            </w:r>
          </w:p>
        </w:tc>
      </w:tr>
      <w:tr>
        <w:trPr>
          <w:tblHeader w:val="true"/>
        </w:trPr>
        <w:tc>
          <w:tcPr>
            <w:tcW w:type="dxa" w:w="454"/>
            <w:vMerge/>
          </w:tcPr>
          <w:p/>
        </w:tc>
        <w:tc>
          <w:tcPr>
            <w:tcW w:type="dxa" w:w="2835"/>
            <w:vMerge/>
          </w:tcP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金融机构管理部门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金融机构管理部门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主要责任部门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维护风险偏好陈述</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维护风险偏好指标</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维护适用机构及监测频率</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设置红灯、黄灯阈值</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查询监管要求及历史数据</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依据历史数据形成参考阈值</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调整指标参考阈值</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形成风险偏好设置方案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提交审阅</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会签审批</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发布风险偏好方案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风险偏好版本生效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查看风险偏好方案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查看风险偏好指标</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开展风险偏好监测</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形成风险偏好监测报告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提交风险指标重检申请</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填写重检原因</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上传重检支持材料</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审核重检申请</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动态调整风险偏好方案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查询历史版本</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下载风险偏好方案及相关材料</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bl>
    <w:p>
      <w:pPr>
        <w:pStyle w:val="2"/>
        <w:pageBreakBefore/>
      </w:pPr>
      <w:r>
        <w:t>金融机构风险限额权限表</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1"/>
        <w:gridCol w:w="1081"/>
        <w:gridCol w:w="1081"/>
        <w:gridCol w:w="1081"/>
        <w:gridCol w:w="1081"/>
        <w:gridCol w:w="1081"/>
        <w:gridCol w:w="1081"/>
        <w:gridCol w:w="1081"/>
        <w:gridCol w:w="1081"/>
        <w:gridCol w:w="1081"/>
        <w:gridCol w:w="1081"/>
        <w:gridCol w:w="1081"/>
        <w:gridCol w:w="1081"/>
        <w:gridCol w:w="1081"/>
      </w:tblGrid>
      <w:tr>
        <w:trPr>
          <w:tblHeader w:val="true"/>
        </w:trPr>
        <w:tc>
          <w:tcPr>
            <w:tcW w:type="dxa" w:w="454"/>
            <w:vMerge w:val="restart"/>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序号</w:t>
            </w:r>
          </w:p>
        </w:tc>
        <w:tc>
          <w:tcPr>
            <w:tcW w:type="dxa" w:w="2835"/>
            <w:vMerge w:val="restart"/>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功能点</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集团</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国资公司</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各金融机构</w:t>
            </w:r>
          </w:p>
        </w:tc>
      </w:tr>
      <w:tr>
        <w:trPr>
          <w:tblHeader w:val="true"/>
        </w:trPr>
        <w:tc>
          <w:tcPr>
            <w:tcW w:type="dxa" w:w="454"/>
            <w:vMerge/>
          </w:tcPr>
          <w:p/>
        </w:tc>
        <w:tc>
          <w:tcPr>
            <w:tcW w:type="dxa" w:w="2835"/>
            <w:vMerge/>
          </w:tcP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金融机构管理部门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金融机构管理部门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主要责任部门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发起年度风险限额设置工作</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维护风险限额指标</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维护指标定义及适用机构</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维护监测频率</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设置红灯、黄灯阈值</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查询监管要求及历史数据</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依据历史数据形成参考阈值</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调整限额参考阈值</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与金融机构沟通确认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确认最终限额及阈值</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形成金融机构风险限额设置方案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提交会签</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提交审批</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发布风险限额方案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风险限额版本生效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查看风险限额方案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查看风险限额指标</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开展风险限额监测</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形成风险限额运行报告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提交风险限额重检申请</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填写重检原因</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上传支持材料</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审核重检申请</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动态调整风险限额方案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查询历史版本</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下载风险限额方案及相关材料</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bl>
    <w:p>
      <w:pPr>
        <w:pStyle w:val="2"/>
        <w:pageBreakBefore/>
      </w:pPr>
      <w:r>
        <w:t>风险并表指标监测预警权限表</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1"/>
        <w:gridCol w:w="1081"/>
        <w:gridCol w:w="1081"/>
        <w:gridCol w:w="1081"/>
        <w:gridCol w:w="1081"/>
        <w:gridCol w:w="1081"/>
        <w:gridCol w:w="1081"/>
        <w:gridCol w:w="1081"/>
        <w:gridCol w:w="1081"/>
        <w:gridCol w:w="1081"/>
        <w:gridCol w:w="1081"/>
        <w:gridCol w:w="1081"/>
        <w:gridCol w:w="1081"/>
        <w:gridCol w:w="1081"/>
      </w:tblGrid>
      <w:tr>
        <w:trPr>
          <w:tblHeader w:val="true"/>
        </w:trPr>
        <w:tc>
          <w:tcPr>
            <w:tcW w:type="dxa" w:w="454"/>
            <w:vMerge w:val="restart"/>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序号</w:t>
            </w:r>
          </w:p>
        </w:tc>
        <w:tc>
          <w:tcPr>
            <w:tcW w:type="dxa" w:w="2835"/>
            <w:vMerge w:val="restart"/>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功能点</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集团</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国资公司</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各金融机构</w:t>
            </w:r>
          </w:p>
        </w:tc>
      </w:tr>
      <w:tr>
        <w:trPr>
          <w:tblHeader w:val="true"/>
        </w:trPr>
        <w:tc>
          <w:tcPr>
            <w:tcW w:type="dxa" w:w="454"/>
            <w:vMerge/>
          </w:tcPr>
          <w:p/>
        </w:tc>
        <w:tc>
          <w:tcPr>
            <w:tcW w:type="dxa" w:w="2835"/>
            <w:vMerge/>
          </w:tcP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金融机构管理部门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金融机构管理部门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主要责任部门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接收指标报送数据</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填报指标数据</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补充或修正指标数据</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审核确认报送数据</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自动计算风险指标</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按监测频率开展指标监测</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根据阈值判断指标状态</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生成红灯或黄灯预警</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下发预警提示函</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查看预警信息</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填写预警原因</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提交预警答复</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上传说明材料</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制定应对处置方案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审核应对处置方案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跟踪处置方案执行情况</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提交执行情况报告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查看预警处置进度</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自动解除亮灯</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手动解除亮灯</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提交指标重检申请</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审核指标重检申请</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调整指标定义、阈值或频率</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查询预警事项</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查看预警详情</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下载预警函件及相关材料</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导出监测预警结果</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监测客户集中度</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监测行业集中度</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监测区域集中度</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查看集中度趋势</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下钻查询集中度明细</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bl>
    <w:p>
      <w:pPr>
        <w:pStyle w:val="2"/>
        <w:pageBreakBefore/>
      </w:pPr>
      <w:r>
        <w:t>风险报告权限表</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81"/>
        <w:gridCol w:w="1081"/>
        <w:gridCol w:w="1081"/>
        <w:gridCol w:w="1081"/>
        <w:gridCol w:w="1081"/>
        <w:gridCol w:w="1081"/>
        <w:gridCol w:w="1081"/>
        <w:gridCol w:w="1081"/>
        <w:gridCol w:w="1081"/>
        <w:gridCol w:w="1081"/>
        <w:gridCol w:w="1081"/>
        <w:gridCol w:w="1081"/>
        <w:gridCol w:w="1081"/>
        <w:gridCol w:w="1081"/>
      </w:tblGrid>
      <w:tr>
        <w:trPr>
          <w:tblHeader w:val="true"/>
        </w:trPr>
        <w:tc>
          <w:tcPr>
            <w:tcW w:type="dxa" w:w="454"/>
            <w:vMerge w:val="restart"/>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序号</w:t>
            </w:r>
          </w:p>
        </w:tc>
        <w:tc>
          <w:tcPr>
            <w:tcW w:type="dxa" w:w="2835"/>
            <w:vMerge w:val="restart"/>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功能点</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集团</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国资公司</w:t>
            </w:r>
          </w:p>
        </w:tc>
        <w:tc>
          <w:tcPr>
            <w:tcW w:type="dxa" w:w="3856"/>
            <w:gridSpan w:val="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各金融机构</w:t>
            </w:r>
          </w:p>
        </w:tc>
      </w:tr>
      <w:tr>
        <w:trPr>
          <w:tblHeader w:val="true"/>
        </w:trPr>
        <w:tc>
          <w:tcPr>
            <w:tcW w:type="dxa" w:w="454"/>
            <w:vMerge/>
          </w:tcPr>
          <w:p/>
        </w:tc>
        <w:tc>
          <w:tcPr>
            <w:tcW w:type="dxa" w:w="2835"/>
            <w:vMerge/>
          </w:tcP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金融机构管理部门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金融机构管理部门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董事会</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经理层</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主要责任部门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其他相关职能部门</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根据指标运行情况生成报表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形成风险监测报告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查看风险报表</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提交风险报告审阅</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审阅风险报告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反馈确认风险报告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发布风险报告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下载风险报告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归档风险报告</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创建重大风险事件</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填写重大风险事件首报</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上传事件材料</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核实重大风险事件</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组织重大风险事件汇报</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15</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提交管理层或董事会审阅</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16</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制定事件处置方案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17</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审核事件处置方案</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18</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跟踪事件处置执行情况</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19</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填写重大风险事件续报</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填写重大风险事件终报</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21</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查询重大风险事件</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22</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查看事件处置进度</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23</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下载事件材料</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r>
        <w:tc>
          <w:tcPr>
            <w:tcW w:type="dxa" w:w="45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24</w:t>
            </w:r>
          </w:p>
        </w:tc>
        <w:tc>
          <w:tcPr>
            <w:tcW w:type="dxa" w:w="2835"/>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归档重大风险事件</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待确认</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r>
          </w:p>
        </w:tc>
      </w:tr>
    </w:tbl>
    <w:p>
      <w:pPr>
        <w:sectPr>
          <w:pgSz w:w="16838" w:h="11906" w:orient="landscape"/>
          <w:pgMar w:top="1134" w:right="850" w:bottom="1134" w:left="850" w:header="567" w:footer="567" w:gutter="0"/>
          <w:cols w:space="708"/>
          <w:docGrid w:linePitch="360"/>
        </w:sectPr>
      </w:pPr>
    </w:p>
    <w:p>
      <w:pPr>
        <w:pStyle w:val="1"/>
      </w:pPr>
      <w:r>
        <w:t>拟设功能介绍</w:t>
      </w:r>
    </w:p>
    <w:p>
      <w:pPr>
        <w:pStyle w:val="21"/>
        <w:jc w:val="both"/>
      </w:pPr>
      <w:r>
        <w:t>本章按照四个一期核心模块说明拟设业务功能。功能名称与第四章权限矩阵一一对应，数据来源暂由业务部门和相关机构后续补充确认。</w:t>
      </w:r>
    </w:p>
    <w:p>
      <w:pPr>
        <w:pStyle w:val="2"/>
      </w:pPr>
      <w:r>
        <w:t>集团并表风险偏好及目标拟设功能表</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6"/>
        <w:gridCol w:w="2076"/>
        <w:gridCol w:w="2076"/>
        <w:gridCol w:w="2076"/>
      </w:tblGrid>
      <w:tr>
        <w:trPr>
          <w:tblHeader w:val="true"/>
        </w:trP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序号</w:t>
            </w:r>
          </w:p>
        </w:tc>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功能名称</w:t>
            </w:r>
          </w:p>
        </w:tc>
        <w:tc>
          <w:tcPr>
            <w:tcW w:type="dxa" w:w="4989"/>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功能描述</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数据来源</w:t>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维护风险偏好陈述</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支持国资公司金融机构管理部门依据集团风险偏好方案维护定性风险偏好陈述，形成年度方案的定性管理要求。</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维护风险偏好指标</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支持维护风险偏好指标名称、定义、计量口径、单位及管理属性，形成风险偏好指标清单。</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维护适用机构及监测频率</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支持为风险偏好指标配置适用金融机构范围和监测频率，形成差异化传导与监测要求。</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设置红灯、黄灯阈值</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支持根据监管要求、集团风险承受能力及历史运行情况设置红灯、黄灯阈值，形成指标分级判断标准。</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查询监管要求及历史数据</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支持相关管理部门查询指标监管要求和历史运行数据，为风险偏好目标与阈值设置提供参考。</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依据历史数据形成参考阈值</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系统根据已确认的历史数据及计算规则形成指标参考阈值，供方案编制人员分析使用。</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调整指标参考阈值</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支持国资公司金融机构管理部门在参考阈值基础上提出调整值并记录调整依据，形成待确认阈值。</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形成风险偏好设置方案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系统汇总风险偏好陈述、指标、适用机构、监测频率及阈值，形成年度风险偏好设置方案。</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提交审阅</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支持方案编制部门提交风险偏好设置方案进入审阅流程，并留存提交版本和相关材料。</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会签审批</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支持集团和国资公司按照管理权限对风险偏好设置方案开展会签、审阅或审批，形成处理意见和审批结果。</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发布风险偏好方案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支持授权管理部门在方案审阅通过后发布风险偏好方案，并向适用主体传导生效要求。</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风险偏好版本生效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支持将审阅通过并发布的方案置为生效版本，作为风险限额设置和指标监测的依据。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查看风险偏好方案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支持各主体按照数据权限查看已发布或流程中的风险偏好方案；各金融机构仅查看适用于本机构的内容。</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查看风险偏好指标</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支持各主体按照权限查看指标定义、适用机构、监测频率和生效阈值等信息。</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开展风险偏好监测</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系统依据生效方案和规定频率开展风险偏好指标监测，形成指标状态及限额执行结果。</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形成风险偏好监测报告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系统汇总风险偏好指标运行、阈值突破和处置情况，形成风险偏好监测报告。</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提交风险指标重检申请</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支持金融机构主要责任部门对明显不适应经营实际的指标、阈值或频率提交重检申请。</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填写重检原因</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支持申请主体说明监管、市场环境或经营发展变化及其对指标监测结果的影响。</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上传重检支持材料</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支持申请主体上传重检说明、监管依据、历史数据及其他支持材料，并与申请关联留存。</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审核重检申请</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支持管理部门核实重检申请并形成通过、退回或维持原方案的审核意见。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动态调整风险偏好方案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对审核确认需要调整的事项，支持按原审议程序更新指标、阈值或监测频率并形成调整版本。</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查询历史版本</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支持按照方案年度、生效期间和版本状态查询风险偏好历史版本及调整记录。</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下载风险偏好方案及相关材料</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支持相关主体按照数据权限下载风险偏好方案、审阅材料和附件；各金融机构仅限本机构适用范围。</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bl>
    <w:p>
      <w:pPr>
        <w:pStyle w:val="2"/>
        <w:pageBreakBefore/>
      </w:pPr>
      <w:r>
        <w:t>金融机构风险限额拟设功能表</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6"/>
        <w:gridCol w:w="2076"/>
        <w:gridCol w:w="2076"/>
        <w:gridCol w:w="2076"/>
      </w:tblGrid>
      <w:tr>
        <w:trPr>
          <w:tblHeader w:val="true"/>
        </w:trP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序号</w:t>
            </w:r>
          </w:p>
        </w:tc>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功能名称</w:t>
            </w:r>
          </w:p>
        </w:tc>
        <w:tc>
          <w:tcPr>
            <w:tcW w:type="dxa" w:w="4989"/>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功能描述</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数据来源</w:t>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发起年度风险限额设置工作</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支持国资公司金融机构管理部门按年度发起纳入并表金融机构风险限额设置与更新工作，明确范围、要求和完成时限。</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维护风险限额指标</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支持维护金融机构风险限额指标名称、管理类型、计量口径和单位，形成差异化限额指标清单。</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维护指标定义及适用机构</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支持维护风险限额指标定义、适用金融机构及生效期间，形成可执行的机构限额要求。</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维护监测频率</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支持根据指标属性和管理要求维护日、月、季或其他监测频率。</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设置红灯、黄灯阈值</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支持为各机构限额指标设置红灯、黄灯阈值，形成分级预警判断标准。</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查询监管要求及历史数据</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支持查询各机构适用监管要求及指标历史数据，为限额设置提供依据。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依据历史数据形成参考阈值</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系统根据历史数据及经确认的规则计算限额参考阈值，供限额方案编制使用。</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调整限额参考阈值</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支持管理部门结合机构实际和沟通结果对参考阈值进行调整并记录依据。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与金融机构沟通确认</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支持国资公司金融机构管理部门与相关金融机构就限额指标、阈值和频率进行沟通并留存意见。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确认最终限额及阈值</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支持相关管理部门依据沟通结果确认最终限额指标及红黄灯阈值，形成方案编制基础。</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形成金融机构风险限额设置方案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系统按机构汇总指标、定义、频率、阈值和生效期间，形成年度金融机构风险限额设置方案。</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提交会签</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支持方案编制部门将风险限额设置方案提交相关部门会签，并留存会签意见。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提交审批</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支持会签完成后的风险限额设置方案按照管理权限提交审批并留存审批结果。</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发布风险限额方案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支持授权管理部门在审批通过后发布风险限额方案，并向适用金融机构传导。</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风险限额版本生效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支持将已发布方案设置为生效版本，作为指标监测和预警判断依据。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查看风险限额方案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支持各主体按照权限查看风险限额设置方案；各金融机构仅查看本机构方案。</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查看风险限额指标</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支持各主体按照权限查看限额指标定义、频率、阈值和生效状态。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开展风险限额监测</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系统依据生效限额方案和监测频率计算指标并判断限额执行状态。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形成风险限额运行报告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系统汇总各金融机构限额指标运行、预警和处置情况，形成风险限额运行报告。</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提交风险限额重检申请</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支持金融机构主要责任部门对不适应实际情况的限额、阈值或频率提交重检申请。</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填写重检原因</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支持申请主体说明重检事项、变化因素、影响情况和调整建议。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上传支持材料</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支持申请主体上传监管依据、历史数据、测算结果及其他重检支持材料。</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审核重检申请</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支持集团或国资公司管理部门核实重检申请并形成审核意见。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动态调整风险限额方案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对审核确认需要调整的事项，支持更新限额、阈值或频率并履行原方案审议程序。</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查询历史版本</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支持查询金融机构风险限额方案的历史版本、生效期间和调整记录。</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下载风险限额方案及相关材料</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支持相关主体按照数据权限下载风险限额方案及其附件；各金融机构仅限本机构。</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bl>
    <w:p>
      <w:pPr>
        <w:pStyle w:val="2"/>
        <w:pageBreakBefore/>
      </w:pPr>
      <w:r>
        <w:t>风险并表指标监测预警拟设功能表</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6"/>
        <w:gridCol w:w="2076"/>
        <w:gridCol w:w="2076"/>
        <w:gridCol w:w="2076"/>
      </w:tblGrid>
      <w:tr>
        <w:trPr>
          <w:tblHeader w:val="true"/>
        </w:trP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序号</w:t>
            </w:r>
          </w:p>
        </w:tc>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功能名称</w:t>
            </w:r>
          </w:p>
        </w:tc>
        <w:tc>
          <w:tcPr>
            <w:tcW w:type="dxa" w:w="4989"/>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功能描述</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数据来源</w:t>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接收指标报送数据</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支持管理部门接收金融机构按任务和频率报送的风险指标数据，并记录报送机构、期次和版本。</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填报指标数据</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支持金融机构主要责任部门按照指标口径和报送要求填报本机构指标数据。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补充或修正指标数据</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支持金融机构对校验不通过或被退回的数据补充说明、修正并重新提交。</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审核确认报送数据</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支持金融机构内部责任部门及管理部门按照流程审核确认报送数据。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自动计算风险指标</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系统依据生效指标口径、计算规则和报送数据自动计算风险并表指标并保留计算结果。</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按监测频率开展指标监测</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系统按照已配置监测频率执行指标计算和状态监测，形成期次化监测结果。</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根据阈值判断指标状态</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系统将指标值与生效红黄灯阈值比较，判断红、黄、绿灯状态并留存阈值版本。</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生成红灯或黄灯预警</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指标突破相应阈值后，系统自动生成红灯或黄灯预警事项并关联指标、机构和期次。</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下发预警提示函</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支持管理部门向相关金融机构下发预警提示函，明确预警事项、反馈要求和处理时限。</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查看预警信息</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支持各主体按照权限查看预警等级、指标状态、责任机构及处置状态；金融机构仅查看本机构事项。</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填写预警原因</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支持金融机构主要责任部门填写指标突破原因、影响情况和初步判断。</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提交预警答复</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支持金融机构提交预警答复及处理意见，并记录提交时间和版本。</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上传说明材料</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支持金融机构上传与预警原因、影响分析和处置相关的证明材料。</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制定应对处置方案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支持金融机构针对预警事项制定应对处置方案，明确措施、责任和计划时限。</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审核应对处置方案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支持管理部门对金融机构提交的应对处置方案进行审核、退回或确认。</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跟踪处置方案执行情况</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支持集团、国资公司和金融机构按照职责跟踪处置措施、责任人、节点和完成状态。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提交执行情况报告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支持金融机构按要求提交处置方案执行情况报告并更新未完成措施。</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查看预警处置进度</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支持相关主体查看预警答复、方案审核、措施执行及事项关闭进度。</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自动解除亮灯</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指标恢复绿灯区间且满足解除规则时，系统自动解除亮灯并保留状态变更记录。</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手动解除亮灯</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支持授权管理部门在符合管理要求时确认解除亮灯并记录解除依据。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提交指标重检申请</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支持金融机构对指标定义、阈值或频率显著不适应实际情况的事项提交重检申请。</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审核指标重检申请</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支持管理部门核实指标重检申请并形成维持原方案或启动调整的审核意见。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调整指标定义、阈值或频率</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对审核确认需要调整的事项，支持按指标设置与更新流程调整定义、阈值或频率并生成新版本。</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查询预警事项</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支持按照指标、机构、等级、状态和期次查询预警事项；金融机构仅查询本机构事项。</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查看预警详情</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支持查看预警指标、阈值、提示函、原因答复、处置方案、执行记录和解除信息。</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下载预警函件及相关材料</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支持按照权限下载预警提示函、答复、处置方案及附件。</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导出监测预警结果</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支持按照查询条件和数据权限导出指标监测及预警处置结果。</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监测客户集中度</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支持按单一客户和单一集团客户归集跨机构投融资余额，计算客户集中度并判断亮灯状态。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监测行业集中度</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支持按行业归集并表范围业务余额，计算行业集中度并判断亮灯状态。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监测区域集中度</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支持按区域归集并表范围业务余额，计算区域集中度并判断亮灯状态。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查看集中度趋势</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支持按照客户、行业或区域查看集中度及相关业务余额的历史变化趋势。</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下钻查询集中度明细</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支持从集中度汇总结果下钻至往来机构、业务类型及底层业务明细；金融机构仅限本机构数据。</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bl>
    <w:p>
      <w:pPr>
        <w:pStyle w:val="2"/>
        <w:pageBreakBefore/>
      </w:pPr>
      <w:r>
        <w:t>风险报告拟设功能表</w:t>
      </w:r>
    </w:p>
    <w:tbl>
      <w:tblPr>
        <w:tblStyle w:val="ae"/>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6"/>
        <w:gridCol w:w="2076"/>
        <w:gridCol w:w="2076"/>
        <w:gridCol w:w="2076"/>
      </w:tblGrid>
      <w:tr>
        <w:trPr>
          <w:tblHeader w:val="true"/>
        </w:trP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序号</w:t>
            </w:r>
          </w:p>
        </w:tc>
        <w:tc>
          <w:tcPr>
            <w:tcW w:type="dxa" w:w="2268"/>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功能名称</w:t>
            </w:r>
          </w:p>
        </w:tc>
        <w:tc>
          <w:tcPr>
            <w:tcW w:type="dxa" w:w="4989"/>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功能描述</w:t>
            </w:r>
          </w:p>
        </w:tc>
        <w:tc>
          <w:tcPr>
            <w:tcW w:type="dxa" w:w="964"/>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sz w:val="22"/>
              </w:rPr>
              <w:t>数据来源</w:t>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根据指标运行情况生成报表</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系统根据风险偏好、风险限额和指标监测结果生成期次化风险报表，并固化数据口径和指标版本。</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形成风险监测报告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支持管理部门汇总指标运行、预警处置和重大风险事件情况，形成风险监测报告。</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查看风险报表</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支持各主体按照权限查看风险报表；各金融机构仅查看与本机构相关内容。</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提交风险报告审阅</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支持报告编制部门将风险报告及附件提交相关部门、经理层或董事会审阅。</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审阅风险报告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支持集团和国资公司相关部门、经理层及董事会按照管理权限审阅风险报告并形成意见。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反馈确认风险报告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支持相关机构或部门对报告内容反馈意见、补充说明并确认最终版本。</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发布风险报告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支持授权管理部门在审阅通过后发布风险报告并记录发布版本和时间。</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下载风险报告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支持相关主体按照数据权限下载已发布风险报告及附件。</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归档风险报告</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支持对已发布风险报告、审阅意见、引用数据和附件统一归档并保留版本。</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创建重大风险事件</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支持金融机构发现重大或潜在重大风险事件后创建事件记录，形成事件管理编号。</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填写重大风险事件首报</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支持金融机构填写事件基本情况、影响范围、发展趋势、已采取措施及初步研判并提交首报。</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上传事件材料</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支持金融机构上传与重大风险事件及处置方案相关的说明、证明和报送材料。</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核实重大风险事件</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支持金融机构管理部门核实事件事实、报送材料和影响情况，并形成核实意见。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组织重大风险事件汇报</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支持金融机构管理部门根据事件程度组织形成汇报材料并协调相关部门参与。</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15</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提交管理层或董事会审阅</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支持按管理权限将重大风险事件及处置方案提交集团或国资公司经理层、董事会审阅。</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16</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制定事件处置方案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支持金融机构针对重大风险事件制定处置目标、措施、责任安排和计划完成时间。</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17</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审核事件处置方案</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支持集团或国资公司金融机构管理部门审核事件处置方案并记录意见。</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18</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跟踪事件处置执行情况</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支持相关主体持续跟踪事件变化、处置措施、责任人、完成进度及未解决风险。</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19</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填写重大风险事件续报</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支持金融机构在事件处置期间提交续报，更新事件变化、风险影响和措施执行情况。</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20</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填写重大风险事件终报</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支持金融机构在处置完成后提交终报，总结处置结果、剩余风险及后续安排。</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21</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查询重大风险事件</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支持按照机构、风险类型、状态和发生时间查询重大风险事件；金融机构仅查询本机构事件。</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22</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查看事件处置进度</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支持相关主体查看首报、核实、审阅、处置、续报、终报和跟踪归档进度。</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23</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下载事件材料</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支持相关主体按照权限下载事件报告、处置方案、审阅意见及附件。</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r>
        <w:tc>
          <w:tcPr>
            <w:tcW w:type="dxa" w:w="567"/>
            <w:vAlign w:val="center"/>
            <w:tcMar>
              <w:top w:w="70" w:type="dxa"/>
              <w:start w:w="70" w:type="dxa"/>
              <w:bottom w:w="70" w:type="dxa"/>
              <w:end w:w="70" w:type="dxa"/>
            </w:tcMar>
          </w:tcPr>
          <w:p>
            <w:pPr>
              <w:spacing w:before="0" w:after="0" w:line="240" w:lineRule="auto"/>
              <w:jc w:val="center"/>
            </w:pPr>
            <w:r>
              <w:rPr>
                <w:rFonts w:ascii="华文细黑" w:hAnsi="华文细黑" w:eastAsia="华文细黑"/>
                <w:sz w:val="22"/>
              </w:rPr>
            </w:r>
            <w:r>
              <w:rPr>
                <w:rFonts w:ascii="华文细黑" w:hAnsi="华文细黑" w:eastAsia="华文细黑"/>
                <w:b w:val="0"/>
                <w:sz w:val="22"/>
              </w:rPr>
              <w:t>24</w:t>
            </w:r>
          </w:p>
        </w:tc>
        <w:tc>
          <w:tcPr>
            <w:tcW w:type="dxa" w:w="2268"/>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归档重大风险事件</w:t>
            </w:r>
          </w:p>
        </w:tc>
        <w:tc>
          <w:tcPr>
            <w:tcW w:type="dxa" w:w="4989"/>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t>支持在终报审核确认后将事件及全过程材料归档；风险未完全消除的可转入常态化跟踪。</w:t>
            </w:r>
          </w:p>
        </w:tc>
        <w:tc>
          <w:tcPr>
            <w:tcW w:type="dxa" w:w="964"/>
            <w:vAlign w:val="center"/>
            <w:tcMar>
              <w:top w:w="70" w:type="dxa"/>
              <w:start w:w="70" w:type="dxa"/>
              <w:bottom w:w="70" w:type="dxa"/>
              <w:end w:w="70" w:type="dxa"/>
            </w:tcMar>
          </w:tcPr>
          <w:p>
            <w:pPr>
              <w:spacing w:before="0" w:after="0" w:line="240" w:lineRule="auto"/>
              <w:jc w:val="left"/>
            </w:pPr>
            <w:r>
              <w:rPr>
                <w:rFonts w:ascii="华文细黑" w:hAnsi="华文细黑" w:eastAsia="华文细黑"/>
                <w:sz w:val="22"/>
              </w:rPr>
            </w:r>
            <w:r>
              <w:rPr>
                <w:rFonts w:ascii="华文细黑" w:hAnsi="华文细黑" w:eastAsia="华文细黑"/>
                <w:b w:val="0"/>
                <w:sz w:val="22"/>
              </w:rPr>
            </w:r>
          </w:p>
        </w:tc>
      </w:tr>
    </w:tbl>
    <w:p>
      <w:pPr>
        <w:pStyle w:val="1"/>
        <w:pageBreakBefore/>
      </w:pPr>
      <w:r>
        <w:t>文档核验要求</w:t>
      </w:r>
    </w:p>
    <w:p>
      <w:pPr>
        <w:pStyle w:val="21"/>
        <w:spacing w:line="276" w:lineRule="auto" w:after="60"/>
        <w:ind w:firstLine="0"/>
        <w:jc w:val="both"/>
      </w:pPr>
      <w:r>
        <w:rPr>
          <w:rFonts w:ascii="华文细黑" w:hAnsi="华文细黑" w:eastAsia="华文细黑"/>
          <w:sz w:val="24"/>
        </w:rPr>
        <w:t>1. 文档仅保留第一阶段业务功能需求。</w:t>
      </w:r>
    </w:p>
    <w:p>
      <w:pPr>
        <w:pStyle w:val="21"/>
        <w:spacing w:line="276" w:lineRule="auto" w:after="60"/>
        <w:ind w:firstLine="0"/>
        <w:jc w:val="both"/>
      </w:pPr>
      <w:r>
        <w:rPr>
          <w:rFonts w:ascii="华文细黑" w:hAnsi="华文细黑" w:eastAsia="华文细黑"/>
          <w:sz w:val="24"/>
        </w:rPr>
        <w:t>2. 正文仅围绕集团并表风险偏好及目标、金融机构风险限额、风险并表指标监测预警和风险报告四个核心模块编写。</w:t>
      </w:r>
    </w:p>
    <w:p>
      <w:pPr>
        <w:pStyle w:val="21"/>
        <w:spacing w:line="276" w:lineRule="auto" w:after="60"/>
        <w:ind w:firstLine="0"/>
        <w:jc w:val="both"/>
      </w:pPr>
      <w:r>
        <w:rPr>
          <w:rFonts w:ascii="华文细黑" w:hAnsi="华文细黑" w:eastAsia="华文细黑"/>
          <w:sz w:val="24"/>
        </w:rPr>
        <w:t>3. 未纳入风险评价和压力测试功能。</w:t>
      </w:r>
    </w:p>
    <w:p>
      <w:pPr>
        <w:pStyle w:val="21"/>
        <w:spacing w:line="276" w:lineRule="auto" w:after="60"/>
        <w:ind w:firstLine="0"/>
        <w:jc w:val="both"/>
      </w:pPr>
      <w:r>
        <w:rPr>
          <w:rFonts w:ascii="华文细黑" w:hAnsi="华文细黑" w:eastAsia="华文细黑"/>
          <w:sz w:val="24"/>
        </w:rPr>
        <w:t>4. 未混入资本并表、会计并表和关联交易功能。</w:t>
      </w:r>
    </w:p>
    <w:p>
      <w:pPr>
        <w:pStyle w:val="21"/>
        <w:spacing w:line="276" w:lineRule="auto" w:after="60"/>
        <w:ind w:firstLine="0"/>
        <w:jc w:val="both"/>
      </w:pPr>
      <w:r>
        <w:rPr>
          <w:rFonts w:ascii="华文细黑" w:hAnsi="华文细黑" w:eastAsia="华文细黑"/>
          <w:sz w:val="24"/>
        </w:rPr>
        <w:t>5. 权限管理已按四个核心模块分别形成四张权限矩阵。</w:t>
      </w:r>
    </w:p>
    <w:p>
      <w:pPr>
        <w:pStyle w:val="21"/>
        <w:spacing w:line="276" w:lineRule="auto" w:after="60"/>
        <w:ind w:firstLine="0"/>
        <w:jc w:val="both"/>
      </w:pPr>
      <w:r>
        <w:rPr>
          <w:rFonts w:ascii="华文细黑" w:hAnsi="华文细黑" w:eastAsia="华文细黑"/>
          <w:sz w:val="24"/>
        </w:rPr>
        <w:t>6. 每张权限矩阵均包括集团、国资公司、各金融机构三类对象及其四个层级。</w:t>
      </w:r>
    </w:p>
    <w:p>
      <w:pPr>
        <w:pStyle w:val="21"/>
        <w:spacing w:line="276" w:lineRule="auto" w:after="60"/>
        <w:ind w:firstLine="0"/>
        <w:jc w:val="both"/>
      </w:pPr>
      <w:r>
        <w:rPr>
          <w:rFonts w:ascii="华文细黑" w:hAnsi="华文细黑" w:eastAsia="华文细黑"/>
          <w:sz w:val="24"/>
        </w:rPr>
        <w:t>7. 材料无法明确的细分权限已标记为“待确认”。</w:t>
      </w:r>
    </w:p>
    <w:p>
      <w:pPr>
        <w:pStyle w:val="21"/>
        <w:spacing w:line="276" w:lineRule="auto" w:after="60"/>
        <w:ind w:firstLine="0"/>
        <w:jc w:val="both"/>
      </w:pPr>
      <w:r>
        <w:rPr>
          <w:rFonts w:ascii="华文细黑" w:hAnsi="华文细黑" w:eastAsia="华文细黑"/>
          <w:sz w:val="24"/>
        </w:rPr>
        <w:t>8. 第四章功能点与第五章功能名称保持一一对应。</w:t>
      </w:r>
    </w:p>
    <w:p>
      <w:pPr>
        <w:pStyle w:val="21"/>
        <w:spacing w:line="276" w:lineRule="auto" w:after="60"/>
        <w:ind w:firstLine="0"/>
        <w:jc w:val="both"/>
      </w:pPr>
      <w:r>
        <w:rPr>
          <w:rFonts w:ascii="华文细黑" w:hAnsi="华文细黑" w:eastAsia="华文细黑"/>
          <w:sz w:val="24"/>
        </w:rPr>
        <w:t>9. 第五章保留“数据来源”列并暂时留空。</w:t>
      </w:r>
    </w:p>
    <w:p>
      <w:pPr>
        <w:pStyle w:val="21"/>
        <w:spacing w:line="276" w:lineRule="auto" w:after="60"/>
        <w:ind w:firstLine="0"/>
        <w:jc w:val="both"/>
      </w:pPr>
      <w:r>
        <w:rPr>
          <w:rFonts w:ascii="华文细黑" w:hAnsi="华文细黑" w:eastAsia="华文细黑"/>
          <w:sz w:val="24"/>
        </w:rPr>
        <w:t>10. 正文未编写按钮级操作说明、页面布局和UI设计内容。</w:t>
      </w:r>
    </w:p>
    <w:p>
      <w:pPr>
        <w:pStyle w:val="21"/>
        <w:spacing w:line="276" w:lineRule="auto" w:after="60"/>
        <w:ind w:firstLine="0"/>
        <w:jc w:val="both"/>
      </w:pPr>
      <w:r>
        <w:rPr>
          <w:rFonts w:ascii="华文细黑" w:hAnsi="华文细黑" w:eastAsia="华文细黑"/>
          <w:sz w:val="24"/>
        </w:rPr>
        <w:t>11. 功能范围与附件2一期功能及现有集团并表管理材料保持一致。</w:t>
      </w:r>
    </w:p>
    <w:p>
      <w:pPr>
        <w:pStyle w:val="21"/>
        <w:spacing w:line="276" w:lineRule="auto" w:after="60"/>
        <w:ind w:firstLine="0"/>
        <w:jc w:val="both"/>
      </w:pPr>
      <w:r>
        <w:rPr>
          <w:rFonts w:ascii="华文细黑" w:hAnsi="华文细黑" w:eastAsia="华文细黑"/>
          <w:sz w:val="24"/>
        </w:rPr>
        <w:t>12. 文档沿用原需求说明书的页面、标题编号、表格和页眉页脚样式。</w:t>
      </w:r>
    </w:p>
    <w:p>
      <w:pPr>
        <w:pStyle w:val="21"/>
        <w:spacing w:line="276" w:lineRule="auto" w:after="60"/>
        <w:ind w:firstLine="0"/>
        <w:jc w:val="both"/>
      </w:pPr>
      <w:r>
        <w:rPr>
          <w:rFonts w:ascii="华文细黑" w:hAnsi="华文细黑" w:eastAsia="华文细黑"/>
          <w:sz w:val="24"/>
        </w:rPr>
        <w:t>13. 表格正文统一使用华文细黑11号字体。</w:t>
      </w:r>
    </w:p>
    <w:p>
      <w:pPr>
        <w:pStyle w:val="21"/>
        <w:spacing w:line="276" w:lineRule="auto" w:after="60"/>
        <w:ind w:firstLine="0"/>
        <w:jc w:val="both"/>
      </w:pPr>
      <w:r>
        <w:rPr>
          <w:rFonts w:ascii="华文细黑" w:hAnsi="华文细黑" w:eastAsia="华文细黑"/>
          <w:sz w:val="24"/>
        </w:rPr>
        <w:t>14. “集团”“国资公司”“各金融机构”等主体名称在全文保持一致。</w:t>
      </w:r>
    </w:p>
    <w:p>
      <w:pPr>
        <w:pStyle w:val="21"/>
        <w:spacing w:line="276" w:lineRule="auto" w:after="60"/>
        <w:ind w:firstLine="0"/>
        <w:jc w:val="both"/>
      </w:pPr>
      <w:r>
        <w:rPr>
          <w:rFonts w:ascii="华文细黑" w:hAnsi="华文细黑" w:eastAsia="华文细黑"/>
          <w:sz w:val="24"/>
        </w:rPr>
        <w:t>15. 最终文档目录、标题编号、分页和表格跨页显示应正常。</w:t>
      </w:r>
    </w:p>
    <w:sectPr w:rsidR="00745CF3">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61861" w14:textId="77777777" w:rsidR="00C203A0" w:rsidRDefault="00C203A0" w:rsidP="0081003E">
      <w:pPr>
        <w:rPr>
          <w:rFonts w:hint="eastAsia"/>
        </w:rPr>
      </w:pPr>
      <w:r>
        <w:separator/>
      </w:r>
    </w:p>
  </w:endnote>
  <w:endnote w:type="continuationSeparator" w:id="0">
    <w:p w14:paraId="6458500B" w14:textId="77777777" w:rsidR="00C203A0" w:rsidRDefault="00C203A0"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F67F"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2F227" w14:textId="77777777" w:rsidR="00C203A0" w:rsidRDefault="00C203A0" w:rsidP="0081003E">
      <w:pPr>
        <w:rPr>
          <w:rFonts w:hint="eastAsia"/>
        </w:rPr>
      </w:pPr>
      <w:r>
        <w:separator/>
      </w:r>
    </w:p>
  </w:footnote>
  <w:footnote w:type="continuationSeparator" w:id="0">
    <w:p w14:paraId="0A0CF2C0" w14:textId="77777777" w:rsidR="00C203A0" w:rsidRDefault="00C203A0"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D773"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47FA5"/>
    <w:rsid w:val="00151E45"/>
    <w:rsid w:val="00173382"/>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93CAA"/>
    <w:rsid w:val="007A1B1D"/>
    <w:rsid w:val="007A7690"/>
    <w:rsid w:val="007B5D71"/>
    <w:rsid w:val="007C1635"/>
    <w:rsid w:val="007C2E88"/>
    <w:rsid w:val="007C2EB3"/>
    <w:rsid w:val="007D07B0"/>
    <w:rsid w:val="007D787B"/>
    <w:rsid w:val="007E019E"/>
    <w:rsid w:val="007E0664"/>
    <w:rsid w:val="007F2D27"/>
    <w:rsid w:val="008049DF"/>
    <w:rsid w:val="0081003E"/>
    <w:rsid w:val="0081255B"/>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E1474"/>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3A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3F4E"/>
    <w:rsid w:val="00D86762"/>
    <w:rsid w:val="00D90BEE"/>
    <w:rsid w:val="00D92E5D"/>
    <w:rsid w:val="00D9466F"/>
    <w:rsid w:val="00D96728"/>
    <w:rsid w:val="00DC0644"/>
    <w:rsid w:val="00DC1213"/>
    <w:rsid w:val="00DC4300"/>
    <w:rsid w:val="00DD02E9"/>
    <w:rsid w:val="00E474ED"/>
    <w:rsid w:val="00E54A33"/>
    <w:rsid w:val="00E60709"/>
    <w:rsid w:val="00E61651"/>
    <w:rsid w:val="00E7161D"/>
    <w:rsid w:val="00E75EF9"/>
    <w:rsid w:val="00E81951"/>
    <w:rsid w:val="00E9168A"/>
    <w:rsid w:val="00E96559"/>
    <w:rsid w:val="00EA4BF9"/>
    <w:rsid w:val="00EB545C"/>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769EC"/>
  <w15:docId w15:val="{BC3C37CA-13AF-48A8-9C96-95BD91D771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2762</TotalTime>
  <Pages>147</Pages>
  <Words>25191</Words>
  <Characters>26200</Characters>
  <Application>Microsoft Office Word</Application>
  <DocSecurity>0</DocSecurity>
  <Lines>2620</Lines>
  <Paragraphs>3022</Paragraphs>
  <ScaleCrop>false</ScaleCrop>
  <Company>Deloitte Touche Tohmatsu Services, Inc.</Company>
  <LinksUpToDate>false</LinksUpToDate>
  <CharactersWithSpaces>48369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57</cp:revision>
  <dcterms:created xsi:type="dcterms:W3CDTF">2021-11-25T06:11:00Z</dcterms:created>
  <dcterms:modified xsi:type="dcterms:W3CDTF">2026-08-06T02:15:00Z</dcterms:modified>
</cp:coreProperties>
</file>