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E1EF84B">
      <w:pPr>
        <w:spacing w:after="0" w:line="280" w:lineRule="auto"/>
      </w:pPr>
      <w:r>
        <w:rPr>
          <w:rFonts w:hint="eastAsia" w:ascii="仿宋" w:hAnsi="仿宋" w:eastAsia="仿宋" w:cs="仿宋"/>
          <w:sz w:val="20"/>
          <w:szCs w:val="20"/>
          <w:lang w:val="en-US" w:eastAsia="zh-CN"/>
        </w:rPr>
        <w:t>公司名称：</w:t>
      </w:r>
    </w:p>
    <w:p w14:paraId="7C5150D9">
      <w:pPr>
        <w:spacing w:after="0" w:line="280" w:lineRule="auto"/>
      </w:pPr>
      <w:r>
        <w:rPr>
          <w:rFonts w:hint="eastAsia" w:ascii="仿宋" w:hAnsi="仿宋" w:eastAsia="仿宋" w:cs="仿宋"/>
          <w:sz w:val="20"/>
          <w:szCs w:val="20"/>
          <w:lang w:val="en-US" w:eastAsia="zh-CN"/>
        </w:rPr>
        <w:t>联系人  ：</w:t>
      </w:r>
    </w:p>
    <w:p w14:paraId="37E089F8">
      <w:pPr>
        <w:spacing w:after="0" w:line="280" w:lineRule="auto"/>
      </w:pPr>
      <w:r>
        <w:rPr>
          <w:rFonts w:hint="eastAsia" w:ascii="仿宋" w:hAnsi="仿宋" w:eastAsia="仿宋" w:cs="仿宋"/>
          <w:sz w:val="20"/>
          <w:szCs w:val="20"/>
          <w:lang w:val="en-US" w:eastAsia="zh-CN"/>
        </w:rPr>
        <w:t>联系方式：</w:t>
      </w:r>
    </w:p>
    <w:p w14:paraId="13B052FC">
      <w:pPr>
        <w:spacing w:after="0" w:line="280" w:lineRule="auto"/>
      </w:pPr>
      <w:r>
        <w:rPr>
          <w:rFonts w:hint="eastAsia" w:ascii="仿宋" w:hAnsi="仿宋" w:eastAsia="仿宋" w:cs="仿宋"/>
          <w:sz w:val="20"/>
          <w:szCs w:val="20"/>
          <w:lang w:val="en-US" w:eastAsia="zh-CN"/>
        </w:rPr>
        <w:t>报价日期：2026年9月11日</w:t>
      </w:r>
    </w:p>
    <w:p w14:paraId="4A60F652">
      <w:pPr>
        <w:spacing w:after="0" w:line="280" w:lineRule="auto"/>
      </w:pPr>
      <w:r>
        <w:rPr>
          <w:rFonts w:hint="eastAsia" w:ascii="仿宋" w:hAnsi="仿宋" w:eastAsia="仿宋" w:cs="仿宋"/>
          <w:sz w:val="20"/>
          <w:szCs w:val="20"/>
          <w:lang w:val="en-US" w:eastAsia="zh-CN"/>
        </w:rPr>
        <w:t>合同号  ：</w:t>
      </w:r>
    </w:p>
    <w:p w14:paraId="434F8FED">
      <w:pPr>
        <w:pBdr>
          <w:bottom w:val="single" w:color="4472C4" w:sz="4" w:space="1"/>
        </w:pBdr>
        <w:spacing w:before="200" w:after="280" w:line="280" w:lineRule="auto"/>
        <w:ind w:left="936" w:right="936"/>
        <w:jc w:val="center"/>
      </w:pPr>
      <w:r>
        <w:rPr>
          <w:rFonts w:hint="eastAsia" w:ascii="仿宋" w:hAnsi="仿宋" w:eastAsia="仿宋" w:cs="仿宋"/>
          <w:b/>
          <w:bCs/>
          <w:color w:val="4472C4"/>
          <w:sz w:val="40"/>
          <w:szCs w:val="40"/>
          <w:lang w:val="en-US" w:eastAsia="zh-CN"/>
        </w:rPr>
        <w:t>外资公司注册及医疗器械产品服务方案</w:t>
      </w:r>
    </w:p>
    <w:p w14:paraId="3E0412C8">
      <w:pPr>
        <w:spacing w:after="0" w:line="280" w:lineRule="auto"/>
      </w:pPr>
      <w:r>
        <w:rPr>
          <w:rFonts w:hint="eastAsia" w:ascii="仿宋" w:hAnsi="仿宋" w:eastAsia="仿宋" w:cs="仿宋"/>
          <w:b/>
          <w:bCs/>
          <w:color w:val="000000"/>
          <w:sz w:val="28"/>
          <w:szCs w:val="28"/>
          <w:lang w:val="en-US" w:eastAsia="zh-CN"/>
        </w:rPr>
        <w:t>1.服务内容</w:t>
      </w:r>
    </w:p>
    <w:tbl>
      <w:tblPr>
        <w:tblStyle w:val="11"/>
        <w:tblW w:w="10034" w:type="dxa"/>
        <w:tblInd w:w="-4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431"/>
        <w:gridCol w:w="2714"/>
        <w:gridCol w:w="765"/>
        <w:gridCol w:w="1873"/>
        <w:gridCol w:w="4251"/>
      </w:tblGrid>
      <w:tr w14:paraId="6ABEF991">
        <w:trPr>
          <w:trHeight w:val="564" w:hRule="atLeast"/>
        </w:trPr>
        <w:tc>
          <w:tcPr>
            <w:tcW w:w="431" w:type="dxa"/>
            <w:shd w:val="clear" w:color="auto" w:fill="BDD6EE"/>
            <w:vAlign w:val="center"/>
          </w:tcPr>
          <w:p w14:paraId="2220FEEF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序号</w:t>
            </w:r>
          </w:p>
        </w:tc>
        <w:tc>
          <w:tcPr>
            <w:tcW w:w="2714" w:type="dxa"/>
            <w:shd w:val="clear" w:color="auto" w:fill="BDD6EE"/>
            <w:vAlign w:val="center"/>
          </w:tcPr>
          <w:p w14:paraId="01AF367C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服务内容</w:t>
            </w:r>
          </w:p>
        </w:tc>
        <w:tc>
          <w:tcPr>
            <w:tcW w:w="765" w:type="dxa"/>
            <w:shd w:val="clear" w:color="auto" w:fill="BDD6EE"/>
            <w:vAlign w:val="center"/>
          </w:tcPr>
          <w:p w14:paraId="136C4984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数量</w:t>
            </w:r>
          </w:p>
        </w:tc>
        <w:tc>
          <w:tcPr>
            <w:tcW w:w="1873" w:type="dxa"/>
            <w:shd w:val="clear" w:color="auto" w:fill="BDD6EE"/>
            <w:vAlign w:val="center"/>
          </w:tcPr>
          <w:p w14:paraId="661923C8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价格</w:t>
            </w:r>
          </w:p>
          <w:p w14:paraId="16A28E37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(越南盾)</w:t>
            </w:r>
          </w:p>
        </w:tc>
        <w:tc>
          <w:tcPr>
            <w:tcW w:w="4251" w:type="dxa"/>
            <w:shd w:val="clear" w:color="auto" w:fill="BDD6EE"/>
            <w:vAlign w:val="center"/>
          </w:tcPr>
          <w:p w14:paraId="4D7E3EB3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备注</w:t>
            </w:r>
          </w:p>
        </w:tc>
      </w:tr>
      <w:tr w14:paraId="25165699">
        <w:trPr>
          <w:trHeight w:val="430" w:hRule="atLeast"/>
        </w:trPr>
        <w:tc>
          <w:tcPr>
            <w:tcW w:w="431" w:type="dxa"/>
            <w:vAlign w:val="top"/>
          </w:tcPr>
          <w:p w14:paraId="3FA6E46A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2714" w:type="dxa"/>
            <w:vAlign w:val="top"/>
          </w:tcPr>
          <w:p w14:paraId="69D5CA6D">
            <w:pPr>
              <w:spacing w:after="0" w:line="280" w:lineRule="auto"/>
              <w:rPr>
                <w:b/>
                <w:bCs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外资公司注册</w:t>
            </w:r>
          </w:p>
        </w:tc>
        <w:tc>
          <w:tcPr>
            <w:tcW w:w="765" w:type="dxa"/>
            <w:vAlign w:val="top"/>
          </w:tcPr>
          <w:p w14:paraId="0A68B38C">
            <w:pPr>
              <w:spacing w:after="0" w:line="280" w:lineRule="auto"/>
              <w:jc w:val="center"/>
              <w:rPr>
                <w:b/>
                <w:bCs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1873" w:type="dxa"/>
            <w:vAlign w:val="top"/>
          </w:tcPr>
          <w:p w14:paraId="7050C1AB">
            <w:pPr>
              <w:spacing w:after="0" w:line="280" w:lineRule="auto"/>
              <w:jc w:val="right"/>
              <w:rPr>
                <w:rFonts w:hint="default"/>
                <w:b/>
                <w:bCs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200,000</w:t>
            </w:r>
            <w:r>
              <w:rPr>
                <w:rFonts w:hint="default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,000</w:t>
            </w:r>
          </w:p>
        </w:tc>
        <w:tc>
          <w:tcPr>
            <w:tcW w:w="4251" w:type="dxa"/>
            <w:vAlign w:val="top"/>
          </w:tcPr>
          <w:p w14:paraId="3C34BB61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注册外资公司的基本要求：公司名称格式为公司+类型+别名；一般行业无明确规定注册资本数额，通常建议注册资本不低于30亿越南盾；大多数行业可以100%外资，部分行业对外资有限制条件（如广告99.9%、运输49%或51%等）；股东必须是外资且至少一名（个人/公司），另需至少一名法定代表人；注册地址可使用虚拟或实体地址，某些行业必须使用实体地址，且办公室须位于商业用地，不能使用公寓、集体房地址注册。注册资本须在公司营业执照（ERC）签发之日起90天内完成实缴，逾期实缴会面临罚款。取得营业执照后，按个别行业要求还需另外申请经营许可等其他资质许可证件。</w:t>
            </w:r>
          </w:p>
        </w:tc>
      </w:tr>
      <w:tr w14:paraId="38B932DA">
        <w:trPr>
          <w:trHeight w:val="430" w:hRule="atLeast"/>
        </w:trPr>
        <w:tc>
          <w:tcPr>
            <w:tcW w:w="431" w:type="dxa"/>
            <w:vAlign w:val="top"/>
          </w:tcPr>
          <w:p w14:paraId="5E815F59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2714" w:type="dxa"/>
            <w:vAlign w:val="top"/>
          </w:tcPr>
          <w:p w14:paraId="7A987D95">
            <w:pPr>
              <w:spacing w:after="0" w:line="280" w:lineRule="auto"/>
              <w:rPr>
                <w:b/>
                <w:bCs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医疗器械（C、D类）产品公布</w:t>
            </w:r>
          </w:p>
        </w:tc>
        <w:tc>
          <w:tcPr>
            <w:tcW w:w="765" w:type="dxa"/>
            <w:vAlign w:val="top"/>
          </w:tcPr>
          <w:p w14:paraId="3BCE0AAD">
            <w:pPr>
              <w:spacing w:after="0" w:line="280" w:lineRule="auto"/>
              <w:jc w:val="center"/>
              <w:rPr>
                <w:b/>
                <w:bCs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1873" w:type="dxa"/>
            <w:vAlign w:val="top"/>
          </w:tcPr>
          <w:p w14:paraId="74C1BE05">
            <w:pPr>
              <w:spacing w:after="0" w:line="280" w:lineRule="auto"/>
              <w:jc w:val="right"/>
              <w:rPr>
                <w:b/>
                <w:bCs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8,200,000</w:t>
            </w:r>
            <w:r>
              <w:rPr>
                <w:rFonts w:hint="default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,000</w:t>
            </w:r>
          </w:p>
        </w:tc>
        <w:tc>
          <w:tcPr>
            <w:tcW w:w="4251" w:type="dxa"/>
            <w:vAlign w:val="top"/>
          </w:tcPr>
          <w:p w14:paraId="262B7A1F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C类、D类医疗器械属于中高风险、高风险的医疗器械，例如C类：用于骨折矫形的夹板、螺丝、电动手术刀等；D类：新冠病毒检测试剂盒等。医疗器械标准公布编号也称为医疗器械的流通编号，取得证书后编号才可以正常进口流通，编号永久有效。办理时间315个工作日，其中卫生部受理审批时间为300个工作日，适用于官方不要求修改补充的情况；如产品已取得由部分特定主管机构签发的《自由销售证明书》或《上市许可》，办理时间约为120–180个工作日。注：特殊费用面议，不提供发票。</w:t>
            </w:r>
          </w:p>
        </w:tc>
      </w:tr>
      <w:tr w14:paraId="066821FE">
        <w:trPr>
          <w:trHeight w:val="430" w:hRule="atLeast"/>
        </w:trPr>
        <w:tc>
          <w:tcPr>
            <w:tcW w:w="3910" w:type="dxa"/>
            <w:gridSpan w:val="3"/>
            <w:vAlign w:val="center"/>
          </w:tcPr>
          <w:p w14:paraId="2E3E36A0">
            <w:pPr>
              <w:spacing w:after="0" w:line="280" w:lineRule="auto"/>
              <w:jc w:val="right"/>
              <w:rPr>
                <w:b w:val="0"/>
                <w:bCs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小计</w:t>
            </w:r>
          </w:p>
        </w:tc>
        <w:tc>
          <w:tcPr>
            <w:tcW w:w="6124" w:type="dxa"/>
            <w:gridSpan w:val="2"/>
            <w:vAlign w:val="center"/>
          </w:tcPr>
          <w:p w14:paraId="4476D5FC">
            <w:pPr>
              <w:spacing w:after="0" w:line="280" w:lineRule="auto"/>
              <w:jc w:val="left"/>
              <w:rPr>
                <w:b w:val="0"/>
                <w:bCs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8,</w:t>
            </w:r>
            <w:r>
              <w:rPr>
                <w:rFonts w:hint="default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4</w:t>
            </w: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00,000</w:t>
            </w:r>
            <w:r>
              <w:rPr>
                <w:rFonts w:hint="default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,000</w:t>
            </w:r>
          </w:p>
        </w:tc>
      </w:tr>
      <w:tr w14:paraId="1E38F982">
        <w:trPr>
          <w:trHeight w:val="430" w:hRule="atLeast"/>
        </w:trPr>
        <w:tc>
          <w:tcPr>
            <w:tcW w:w="3910" w:type="dxa"/>
            <w:gridSpan w:val="3"/>
            <w:vAlign w:val="center"/>
          </w:tcPr>
          <w:p w14:paraId="713799DB">
            <w:pPr>
              <w:spacing w:after="0" w:line="280" w:lineRule="auto"/>
              <w:jc w:val="right"/>
              <w:rPr>
                <w:b w:val="0"/>
                <w:bCs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 xml:space="preserve">增值税 </w:t>
            </w:r>
            <w:r>
              <w:rPr>
                <w:rFonts w:hint="default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8</w:t>
            </w: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%</w:t>
            </w:r>
          </w:p>
        </w:tc>
        <w:tc>
          <w:tcPr>
            <w:tcW w:w="6124" w:type="dxa"/>
            <w:gridSpan w:val="2"/>
            <w:vAlign w:val="center"/>
          </w:tcPr>
          <w:p w14:paraId="3F488220">
            <w:pPr>
              <w:spacing w:after="0" w:line="280" w:lineRule="auto"/>
              <w:jc w:val="left"/>
              <w:rPr>
                <w:b w:val="0"/>
                <w:bCs w:val="0"/>
                <w:sz w:val="20"/>
                <w:szCs w:val="20"/>
              </w:rPr>
            </w:pPr>
            <w:r>
              <w:rPr>
                <w:rFonts w:hint="default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672</w:t>
            </w: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,000</w:t>
            </w:r>
            <w:r>
              <w:rPr>
                <w:rFonts w:hint="default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,000</w:t>
            </w:r>
          </w:p>
        </w:tc>
      </w:tr>
      <w:tr w14:paraId="358ACDFD">
        <w:trPr>
          <w:trHeight w:val="430" w:hRule="atLeast"/>
        </w:trPr>
        <w:tc>
          <w:tcPr>
            <w:tcW w:w="3910" w:type="dxa"/>
            <w:gridSpan w:val="3"/>
            <w:vAlign w:val="center"/>
          </w:tcPr>
          <w:p w14:paraId="7641B546">
            <w:pPr>
              <w:spacing w:after="0" w:line="280" w:lineRule="auto"/>
              <w:jc w:val="right"/>
              <w:rPr>
                <w:b w:val="0"/>
                <w:bCs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含税总计</w:t>
            </w:r>
          </w:p>
        </w:tc>
        <w:tc>
          <w:tcPr>
            <w:tcW w:w="6124" w:type="dxa"/>
            <w:gridSpan w:val="2"/>
            <w:shd w:val="clear" w:color="auto" w:fill="F2F2F2"/>
            <w:vAlign w:val="center"/>
          </w:tcPr>
          <w:p w14:paraId="70297FA9">
            <w:pPr>
              <w:spacing w:after="0" w:line="280" w:lineRule="auto"/>
              <w:jc w:val="left"/>
              <w:rPr>
                <w:b w:val="0"/>
                <w:bCs w:val="0"/>
                <w:sz w:val="20"/>
                <w:szCs w:val="20"/>
              </w:rPr>
            </w:pPr>
            <w:r>
              <w:rPr>
                <w:rFonts w:hint="default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9</w:t>
            </w: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,</w:t>
            </w:r>
            <w:r>
              <w:rPr>
                <w:rFonts w:hint="default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072</w:t>
            </w: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,000</w:t>
            </w:r>
            <w:r>
              <w:rPr>
                <w:rFonts w:hint="default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,000</w:t>
            </w:r>
          </w:p>
        </w:tc>
      </w:tr>
    </w:tbl>
    <w:p w14:paraId="12E34529">
      <w:pPr>
        <w:spacing w:after="0" w:line="280" w:lineRule="auto"/>
      </w:pPr>
    </w:p>
    <w:p w14:paraId="2C3D4341">
      <w:pPr>
        <w:spacing w:after="0" w:line="280" w:lineRule="auto"/>
        <w:rPr>
          <w:rFonts w:hint="eastAsia" w:ascii="FangSong" w:hAnsi="FangSong" w:eastAsia="FangSong" w:cs="FangSong"/>
          <w:b/>
          <w:bCs/>
          <w:sz w:val="24"/>
          <w:szCs w:val="24"/>
          <w:lang w:val="en-US" w:eastAsia="zh-CN"/>
        </w:rPr>
      </w:pPr>
      <w:r>
        <w:rPr>
          <w:rFonts w:hint="eastAsia" w:ascii="FangSong" w:hAnsi="FangSong" w:eastAsia="FangSong" w:cs="FangSong"/>
          <w:b/>
          <w:bCs/>
          <w:sz w:val="24"/>
          <w:szCs w:val="24"/>
          <w:lang w:val="en-US" w:eastAsia="zh-CN"/>
        </w:rPr>
        <w:t>*备注：</w:t>
      </w:r>
    </w:p>
    <w:p w14:paraId="08B188A6">
      <w:pPr>
        <w:spacing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以上服务报价不包括：</w:t>
      </w:r>
    </w:p>
    <w:p w14:paraId="29F2E5D7">
      <w:pPr>
        <w:spacing w:after="0" w:line="280" w:lineRule="auto"/>
        <w:ind w:firstLine="720" w:firstLineChars="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- 文件翻译费；</w:t>
      </w:r>
    </w:p>
    <w:p w14:paraId="0A96F990">
      <w:pPr>
        <w:spacing w:after="0" w:line="280" w:lineRule="auto"/>
        <w:ind w:left="72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- 国际快递邮寄费；</w:t>
      </w:r>
    </w:p>
    <w:p w14:paraId="5118C29D">
      <w:pPr>
        <w:spacing w:after="0" w:line="280" w:lineRule="auto"/>
        <w:ind w:left="72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- 银行转账手续费。</w:t>
      </w:r>
    </w:p>
    <w:p w14:paraId="4C56872C">
      <w:pPr>
        <w:spacing w:before="100" w:after="0" w:line="280" w:lineRule="auto"/>
      </w:pPr>
    </w:p>
    <w:p w14:paraId="655E9305">
      <w:pPr>
        <w:spacing w:after="0" w:line="280" w:lineRule="auto"/>
      </w:pPr>
      <w:r>
        <w:rPr>
          <w:rFonts w:hint="eastAsia" w:ascii="仿宋" w:hAnsi="仿宋" w:eastAsia="仿宋" w:cs="仿宋"/>
          <w:b/>
          <w:bCs/>
          <w:color w:val="000000"/>
          <w:sz w:val="28"/>
          <w:szCs w:val="28"/>
          <w:lang w:val="en-US" w:eastAsia="zh-CN"/>
        </w:rPr>
        <w:t>2.付款条件：</w:t>
      </w:r>
    </w:p>
    <w:p w14:paraId="0340964C">
      <w:pPr>
        <w:spacing w:after="0" w:line="280" w:lineRule="auto"/>
        <w:ind w:left="360"/>
      </w:pPr>
      <w:r>
        <w:rPr>
          <w:rFonts w:hint="eastAsia" w:ascii="仿宋" w:hAnsi="仿宋" w:eastAsia="仿宋" w:cs="仿宋"/>
          <w:sz w:val="22"/>
          <w:szCs w:val="22"/>
          <w:lang w:val="en-US" w:eastAsia="zh-CN"/>
        </w:rPr>
        <w:t>甲方应在收到发票后 5 个工作日内支付合同金额的 100%。</w:t>
      </w:r>
    </w:p>
    <w:p w14:paraId="4F772E85">
      <w:pPr>
        <w:spacing w:after="0" w:line="280" w:lineRule="auto"/>
      </w:pPr>
    </w:p>
    <w:p w14:paraId="723F0839">
      <w:pPr>
        <w:numPr>
          <w:ilvl w:val="0"/>
          <w:numId w:val="1"/>
        </w:numPr>
        <w:spacing w:after="0" w:line="280" w:lineRule="auto"/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服务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流程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eastAsia="zh-CN"/>
          <w14:textFill>
            <w14:solidFill>
              <w14:schemeClr w14:val="tx1"/>
            </w14:solidFill>
          </w14:textFill>
        </w:rPr>
        <w:t>、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时间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及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</w:rPr>
        <w:t>交付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  <w:lang w:val="en-US" w:eastAsia="zh-CN"/>
        </w:rPr>
        <w:t>文件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</w:rPr>
        <w:t>清单</w:t>
      </w:r>
    </w:p>
    <w:p w14:paraId="6C719869">
      <w:pPr>
        <w:numPr>
          <w:ilvl w:val="0"/>
          <w:numId w:val="0"/>
        </w:numPr>
        <w:spacing w:after="0" w:line="280" w:lineRule="auto"/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</w:rPr>
      </w:pPr>
    </w:p>
    <w:tbl>
      <w:tblPr>
        <w:tblStyle w:val="11"/>
        <w:tblW w:w="10067" w:type="dxa"/>
        <w:tblInd w:w="-4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596"/>
        <w:gridCol w:w="2190"/>
        <w:gridCol w:w="1087"/>
        <w:gridCol w:w="3523"/>
        <w:gridCol w:w="2671"/>
      </w:tblGrid>
      <w:tr w14:paraId="1C4EF32A">
        <w:trPr>
          <w:trHeight w:val="564" w:hRule="atLeast"/>
        </w:trPr>
        <w:tc>
          <w:tcPr>
            <w:tcW w:w="596" w:type="dxa"/>
            <w:shd w:val="clear" w:color="auto" w:fill="BDD6EE"/>
            <w:vAlign w:val="center"/>
          </w:tcPr>
          <w:p w14:paraId="6D27A805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序号</w:t>
            </w:r>
          </w:p>
        </w:tc>
        <w:tc>
          <w:tcPr>
            <w:tcW w:w="2190" w:type="dxa"/>
            <w:shd w:val="clear" w:color="auto" w:fill="BDD6EE"/>
            <w:vAlign w:val="center"/>
          </w:tcPr>
          <w:p w14:paraId="71DAD03F">
            <w:pPr>
              <w:spacing w:after="0" w:line="280" w:lineRule="auto"/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lang w:val="en-US" w:eastAsia="zh-CN"/>
              </w:rPr>
              <w:t>服务内容</w:t>
            </w:r>
          </w:p>
        </w:tc>
        <w:tc>
          <w:tcPr>
            <w:tcW w:w="1087" w:type="dxa"/>
            <w:shd w:val="clear" w:color="auto" w:fill="BDD6EE"/>
            <w:vAlign w:val="center"/>
          </w:tcPr>
          <w:p w14:paraId="703167D5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办理时间</w:t>
            </w:r>
          </w:p>
        </w:tc>
        <w:tc>
          <w:tcPr>
            <w:tcW w:w="3523" w:type="dxa"/>
            <w:shd w:val="clear" w:color="auto" w:fill="BDD6EE"/>
            <w:vAlign w:val="center"/>
          </w:tcPr>
          <w:p w14:paraId="01A1C1CE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流程</w:t>
            </w:r>
          </w:p>
        </w:tc>
        <w:tc>
          <w:tcPr>
            <w:tcW w:w="2671" w:type="dxa"/>
            <w:shd w:val="clear" w:color="auto" w:fill="BDD6EE"/>
            <w:vAlign w:val="center"/>
          </w:tcPr>
          <w:p w14:paraId="678D23AE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服务完成后交付文件</w:t>
            </w:r>
          </w:p>
        </w:tc>
      </w:tr>
      <w:tr w14:paraId="7F1316D6">
        <w:trPr>
          <w:trHeight w:val="430" w:hRule="atLeast"/>
        </w:trPr>
        <w:tc>
          <w:tcPr>
            <w:tcW w:w="596" w:type="dxa"/>
            <w:vAlign w:val="top"/>
          </w:tcPr>
          <w:p w14:paraId="52EBA9F4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2190" w:type="dxa"/>
            <w:vAlign w:val="top"/>
          </w:tcPr>
          <w:p w14:paraId="67ADC151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外资公司注册</w:t>
            </w:r>
          </w:p>
        </w:tc>
        <w:tc>
          <w:tcPr>
            <w:tcW w:w="1087" w:type="dxa"/>
            <w:vAlign w:val="top"/>
          </w:tcPr>
          <w:p w14:paraId="31EF58C8">
            <w:pPr>
              <w:spacing w:after="0" w:line="280" w:lineRule="auto"/>
              <w:jc w:val="center"/>
              <w:rPr>
                <w:rFonts w:hint="default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21个工作日</w:t>
            </w:r>
          </w:p>
        </w:tc>
        <w:tc>
          <w:tcPr>
            <w:tcW w:w="3523" w:type="dxa"/>
            <w:vAlign w:val="top"/>
          </w:tcPr>
          <w:p w14:paraId="4C0FAFA6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第一步：收集资料</w:t>
            </w:r>
          </w:p>
          <w:p w14:paraId="3CF49719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第二步：检查申请文件</w:t>
            </w:r>
          </w:p>
          <w:p w14:paraId="5BEB8CFE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第三步：准备申请文件</w:t>
            </w:r>
          </w:p>
          <w:p w14:paraId="351ABAB4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第四步：提交投资许可证的申请文件+财政厅受理审批</w:t>
            </w:r>
          </w:p>
          <w:p w14:paraId="487AC3A1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第五步：财政厅颁发投资许可证</w:t>
            </w:r>
          </w:p>
          <w:p w14:paraId="6038B0F0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第六步：提交营业执照的申请文件+财政厅受理审批</w:t>
            </w:r>
          </w:p>
          <w:p w14:paraId="72AFE226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第七步：财政厅颁发营业执照原件</w:t>
            </w:r>
          </w:p>
          <w:p w14:paraId="22C69472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第八步：刻制公章</w:t>
            </w:r>
          </w:p>
          <w:p w14:paraId="2D575AE5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第九步：检查所有文件</w:t>
            </w:r>
          </w:p>
        </w:tc>
        <w:tc>
          <w:tcPr>
            <w:tcW w:w="2671" w:type="dxa"/>
            <w:vAlign w:val="top"/>
          </w:tcPr>
          <w:p w14:paraId="784BFD4B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1. 越南公司章程（原件）</w:t>
            </w:r>
          </w:p>
          <w:p w14:paraId="6054432E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2. 投资许可证（IRC）（原件）</w:t>
            </w:r>
          </w:p>
          <w:p w14:paraId="3E378532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3. 营业执照（ERC）（电子版）</w:t>
            </w:r>
          </w:p>
          <w:p w14:paraId="5CE746CB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4. 公司公章（实物）</w:t>
            </w:r>
          </w:p>
        </w:tc>
      </w:tr>
      <w:tr w14:paraId="12E5B5E5">
        <w:trPr>
          <w:trHeight w:val="430" w:hRule="atLeast"/>
        </w:trPr>
        <w:tc>
          <w:tcPr>
            <w:tcW w:w="596" w:type="dxa"/>
            <w:vAlign w:val="top"/>
          </w:tcPr>
          <w:p w14:paraId="3A2983B7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2190" w:type="dxa"/>
            <w:vAlign w:val="top"/>
          </w:tcPr>
          <w:p w14:paraId="1C4C482F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医疗器械（C、D类）产品公布</w:t>
            </w:r>
          </w:p>
        </w:tc>
        <w:tc>
          <w:tcPr>
            <w:tcW w:w="1087" w:type="dxa"/>
            <w:vAlign w:val="top"/>
          </w:tcPr>
          <w:p w14:paraId="60226202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315个工作日</w:t>
            </w:r>
          </w:p>
        </w:tc>
        <w:tc>
          <w:tcPr>
            <w:tcW w:w="3523" w:type="dxa"/>
            <w:vAlign w:val="top"/>
          </w:tcPr>
          <w:p w14:paraId="48D9DAD2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第一步：收集资料</w:t>
            </w:r>
          </w:p>
          <w:p w14:paraId="33B5523F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第二步：注册电子账户并起草文件（10个工作日）</w:t>
            </w:r>
          </w:p>
          <w:p w14:paraId="36C792F0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第三步：提交申请文件并收到缴纳官费通知（5个工作日）</w:t>
            </w:r>
          </w:p>
          <w:p w14:paraId="35564D11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第四步：卫生部受理审批（300个工作日）</w:t>
            </w:r>
          </w:p>
          <w:p w14:paraId="3356CE20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第五步：交付文件</w:t>
            </w:r>
          </w:p>
        </w:tc>
        <w:tc>
          <w:tcPr>
            <w:tcW w:w="2671" w:type="dxa"/>
            <w:vAlign w:val="top"/>
          </w:tcPr>
          <w:p w14:paraId="305AF4A9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1. C、D类医疗器械公布证书（电子版）</w:t>
            </w:r>
          </w:p>
          <w:p w14:paraId="3DA1F75B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2. 电子账户（如有）</w:t>
            </w:r>
          </w:p>
        </w:tc>
      </w:tr>
    </w:tbl>
    <w:p w14:paraId="03CF83CD">
      <w:pPr>
        <w:spacing w:after="0" w:line="280" w:lineRule="auto"/>
      </w:pPr>
    </w:p>
    <w:p w14:paraId="2CCB574F">
      <w:pPr>
        <w:spacing w:after="0" w:line="280" w:lineRule="auto"/>
      </w:pPr>
      <w:r>
        <w:rPr>
          <w:rFonts w:hint="eastAsia" w:ascii="仿宋" w:hAnsi="仿宋" w:eastAsia="仿宋" w:cs="仿宋"/>
          <w:b/>
          <w:bCs/>
          <w:color w:val="000000"/>
          <w:sz w:val="28"/>
          <w:szCs w:val="28"/>
          <w:lang w:val="en-US" w:eastAsia="zh-CN"/>
        </w:rPr>
        <w:t>4.所需资料及信息清单</w:t>
      </w:r>
    </w:p>
    <w:p w14:paraId="0D016B85">
      <w:pPr>
        <w:spacing w:after="120" w:line="280" w:lineRule="auto"/>
      </w:pPr>
    </w:p>
    <w:tbl>
      <w:tblPr>
        <w:tblStyle w:val="11"/>
        <w:tblW w:w="10102" w:type="dxa"/>
        <w:tblInd w:w="-4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654"/>
        <w:gridCol w:w="2219"/>
        <w:gridCol w:w="7229"/>
      </w:tblGrid>
      <w:tr w14:paraId="4B50C2B3">
        <w:trPr>
          <w:trHeight w:val="564" w:hRule="atLeast"/>
        </w:trPr>
        <w:tc>
          <w:tcPr>
            <w:tcW w:w="654" w:type="dxa"/>
            <w:shd w:val="clear" w:color="auto" w:fill="BDD6EE"/>
            <w:vAlign w:val="center"/>
          </w:tcPr>
          <w:p w14:paraId="1FE07541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序号</w:t>
            </w:r>
          </w:p>
        </w:tc>
        <w:tc>
          <w:tcPr>
            <w:tcW w:w="2219" w:type="dxa"/>
            <w:shd w:val="clear" w:color="auto" w:fill="BDD6EE"/>
            <w:vAlign w:val="center"/>
          </w:tcPr>
          <w:p w14:paraId="0257A3CF">
            <w:pPr>
              <w:spacing w:after="0" w:line="280" w:lineRule="auto"/>
              <w:jc w:val="center"/>
              <w:rPr>
                <w:rFonts w:hint="default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服务内容</w:t>
            </w:r>
          </w:p>
        </w:tc>
        <w:tc>
          <w:tcPr>
            <w:tcW w:w="7229" w:type="dxa"/>
            <w:shd w:val="clear" w:color="auto" w:fill="BDD6EE"/>
            <w:vAlign w:val="center"/>
          </w:tcPr>
          <w:p w14:paraId="2F6F3E72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color w:val="000000" w:themeColor="text1"/>
                <w:sz w:val="20"/>
                <w:szCs w:val="20"/>
                <w:lang w:val="en-US"/>
                <w14:textFill>
                  <w14:solidFill>
                    <w14:schemeClr w14:val="tx1"/>
                  </w14:solidFill>
                </w14:textFill>
              </w:rPr>
              <w:t>所需</w:t>
            </w:r>
            <w:r>
              <w:rPr>
                <w:rFonts w:hint="eastAsia" w:ascii="仿宋" w:hAnsi="仿宋" w:eastAsia="仿宋" w:cs="仿宋"/>
                <w:b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资料及信息</w:t>
            </w:r>
          </w:p>
        </w:tc>
      </w:tr>
      <w:tr w14:paraId="2CE37943">
        <w:trPr>
          <w:trHeight w:val="430" w:hRule="atLeast"/>
        </w:trPr>
        <w:tc>
          <w:tcPr>
            <w:tcW w:w="654" w:type="dxa"/>
            <w:vAlign w:val="top"/>
          </w:tcPr>
          <w:p w14:paraId="2690C381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2219" w:type="dxa"/>
            <w:vAlign w:val="top"/>
          </w:tcPr>
          <w:p w14:paraId="1535F59C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外资公司注册</w:t>
            </w:r>
          </w:p>
        </w:tc>
        <w:tc>
          <w:tcPr>
            <w:tcW w:w="7229" w:type="dxa"/>
            <w:vAlign w:val="top"/>
          </w:tcPr>
          <w:p w14:paraId="2999E992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1. 公司名称（越南语全名、英语全名、英语缩写）、经营范围、注册资本等基础信息</w:t>
            </w:r>
          </w:p>
          <w:p w14:paraId="213B4903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2. 注册地址资料（越南公证件原件）：</w:t>
            </w:r>
          </w:p>
          <w:p w14:paraId="7D3F3771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（1）租赁合同</w:t>
            </w:r>
          </w:p>
          <w:p w14:paraId="56602488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（2）土地使用权证书</w:t>
            </w:r>
          </w:p>
          <w:p w14:paraId="26222000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（3）业主营业执照或身份证</w:t>
            </w:r>
          </w:p>
          <w:p w14:paraId="3C3F5FC9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3. 越南公司法定代表人越南身份证或护照（越南公证原件）（中国大陆护照需要同时提供原件）</w:t>
            </w:r>
          </w:p>
          <w:p w14:paraId="64001B57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4. 股东证件：</w:t>
            </w:r>
          </w:p>
          <w:p w14:paraId="24EB386D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（1）个人作为股东</w:t>
            </w:r>
          </w:p>
          <w:p w14:paraId="65864091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a. 护照（越南公证原件）（中国大陆护照同时需要原件）</w:t>
            </w:r>
          </w:p>
          <w:p w14:paraId="6AD6DC76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b. 银行出具的个人银行余额证明确认书（领事合法化认证件和对应越南语翻译公证件的扫描件及原件）</w:t>
            </w:r>
          </w:p>
          <w:p w14:paraId="5C1F280D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（2）公司作为股东</w:t>
            </w:r>
          </w:p>
          <w:p w14:paraId="55A3DF2B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a. 公司法律文件，如营业执照、公司章程、审计报告等（按照股东的国籍与注册省份来确认）（领事合法化认证件和对应越南语翻译公证件的扫描件及原件）</w:t>
            </w:r>
          </w:p>
          <w:p w14:paraId="675D4354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b. 银行出具的公司账户余额证明确认书（领事合法化认证件和对应越南语翻译公证件的扫描件及原件）</w:t>
            </w:r>
          </w:p>
          <w:p w14:paraId="27AF1D82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c. 股东公司法定代表人护照（扫描件）（中国大陆护照需要同时提供原件）</w:t>
            </w:r>
          </w:p>
        </w:tc>
      </w:tr>
      <w:tr w14:paraId="53C1F88E">
        <w:trPr>
          <w:trHeight w:val="430" w:hRule="atLeast"/>
        </w:trPr>
        <w:tc>
          <w:tcPr>
            <w:tcW w:w="654" w:type="dxa"/>
            <w:vAlign w:val="top"/>
          </w:tcPr>
          <w:p w14:paraId="62AEBBC0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2219" w:type="dxa"/>
            <w:vAlign w:val="top"/>
          </w:tcPr>
          <w:p w14:paraId="6B4D2E56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医疗器械（C、D类）产品公布</w:t>
            </w:r>
          </w:p>
        </w:tc>
        <w:tc>
          <w:tcPr>
            <w:tcW w:w="7229" w:type="dxa"/>
            <w:vAlign w:val="top"/>
          </w:tcPr>
          <w:p w14:paraId="38072ED5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1. 营业执照（ERC）（扫描件）</w:t>
            </w:r>
          </w:p>
          <w:p w14:paraId="09A18A31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2. CFS（领事合法化认证件和对应越南语翻译公证件的扫描件及原件）</w:t>
            </w:r>
          </w:p>
          <w:p w14:paraId="25ED0AC2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3. LOA（领事合法化认证件和对应越南语翻译公证件的扫描件及原件）</w:t>
            </w:r>
          </w:p>
          <w:p w14:paraId="14D9D9D8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4. ISO 13485（扫描件/电子版）</w:t>
            </w:r>
          </w:p>
          <w:p w14:paraId="751CC650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5. 产品质量合格证或等效证书（扫描件/电子版）</w:t>
            </w:r>
          </w:p>
          <w:p w14:paraId="239BA3B0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6. 保修政策说明文件（扫描件/电子版）</w:t>
            </w:r>
          </w:p>
          <w:p w14:paraId="41370020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7. 产品使用说明书、用户手册（扫描件/电子版）</w:t>
            </w:r>
          </w:p>
          <w:p w14:paraId="6DB0EDF6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8. CDST 档案（电子版）</w:t>
            </w:r>
          </w:p>
          <w:p w14:paraId="7919D4B5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9. 产品技术描述文件（功能、参数）（扫描件/电子版）</w:t>
            </w:r>
          </w:p>
          <w:p w14:paraId="14EF8B70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10. 产品包装标签、产品图片（扫描件/电子版）</w:t>
            </w:r>
          </w:p>
          <w:p w14:paraId="3DA32E5F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11. 越南公司信息（越南电话、邮箱）</w:t>
            </w:r>
          </w:p>
        </w:tc>
      </w:tr>
    </w:tbl>
    <w:p w14:paraId="516A32A9">
      <w:pP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</w:pPr>
    </w:p>
    <w:p w14:paraId="6D196257">
      <w:pP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  <w:t>备注：</w:t>
      </w:r>
    </w:p>
    <w:p w14:paraId="0B42A317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以上办理时间为收集齐所需资料及信息开始的官方办理时间，法定节假日及办证政府机构休息日不算入办理时间。</w:t>
      </w:r>
    </w:p>
    <w:p w14:paraId="0AC109B4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甲方必须提供办理服务所需资料及信息，如因资料及信息不足或提供不及时耽误了办理进度，则所产生的额外费用由甲方承担。</w:t>
      </w:r>
    </w:p>
    <w:p w14:paraId="15995D4A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以上服务价格和办理时间按照甲方提供的信息及资料进行评估，如发生变化，则根据最新信息及资料进行价格和时间调整。</w:t>
      </w:r>
    </w:p>
    <w:p w14:paraId="4351B10A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未列入本报价单或不属于本报价单服务范围内的服务，将另行报价。</w:t>
      </w:r>
    </w:p>
    <w:p w14:paraId="5ACA8BF2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本报价单中所列“（如需）”服务，须在办理过程中根据甲方实际需求及情况重新评估，最终服务价格、数量及办理时间以评估结果为准。</w:t>
      </w:r>
    </w:p>
    <w:p w14:paraId="05E94B5B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如果</w:t>
      </w: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 w:eastAsia="zh-CN"/>
        </w:rPr>
        <w:t>当地</w:t>
      </w: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法规发生变化，乙方有权调整价格及办理时间。</w:t>
      </w:r>
    </w:p>
    <w:p w14:paraId="07570404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所有款项汇到指定的银行账户，银行账户信息如下 :</w:t>
      </w:r>
    </w:p>
    <w:p w14:paraId="360B816C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银行名称 Tên Ngân hàng：Vietcombank - Chi nhánh Thăng Long</w:t>
      </w:r>
    </w:p>
    <w:p w14:paraId="53ECE917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账号名称 Chủ tài khoản：Cong ty TNHH Shanhaimap Viet Nam</w:t>
      </w:r>
    </w:p>
    <w:p w14:paraId="2C620C0A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银行账号 Tài khoản：104 799 1200 (VND)</w:t>
      </w:r>
    </w:p>
    <w:p w14:paraId="2E3C1EDD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国际银行代码 Mã ngân hàng quốc tế (SWIFT)：BFTVVNVX</w:t>
      </w:r>
    </w:p>
    <w:p w14:paraId="4D4EBBC8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分行地址 Địa chỉ：Tòa Nhà Pvoil Phú Thọ, Số 148 Hoàng Quốc Việt, Phường Nghĩa Tân, Quận Cầu Giấy, Thành Phố Hà Nội</w:t>
      </w:r>
    </w:p>
    <w:p w14:paraId="624BC7F1">
      <w:pPr>
        <w:pStyle w:val="25"/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 w:eastAsia="zh-CN"/>
        </w:rPr>
        <w:t>本公司</w:t>
      </w: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对客户提供的纸板或电子版的证件、资料负有妥善保管和保密义务，不得将上述秘密泄露给任何第三方或用于其他用途。</w:t>
      </w:r>
    </w:p>
    <w:p w14:paraId="0D1D6C7A">
      <w:pPr>
        <w:pStyle w:val="25"/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此报价从报价日起生效30天。</w:t>
      </w:r>
    </w:p>
    <w:p w14:paraId="1D2811D7">
      <w:pPr>
        <w:spacing w:before="80" w:after="0" w:line="280" w:lineRule="auto"/>
      </w:pPr>
    </w:p>
    <w:p w14:paraId="77115708">
      <w:pPr>
        <w:spacing w:before="80" w:after="0" w:line="280" w:lineRule="auto"/>
      </w:pPr>
    </w:p>
    <w:p w14:paraId="28A27E4D">
      <w:pPr>
        <w:spacing w:before="80" w:after="0" w:line="280" w:lineRule="auto"/>
      </w:pPr>
    </w:p>
    <w:tbl>
      <w:tblPr>
        <w:tblStyle w:val="10"/>
        <w:tblW w:w="9790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95"/>
        <w:gridCol w:w="4895"/>
      </w:tblGrid>
      <w:tr w14:paraId="239528C2"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E19B37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报价人：</w:t>
            </w:r>
          </w:p>
        </w:tc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13516C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同意报价人：</w:t>
            </w:r>
          </w:p>
        </w:tc>
      </w:tr>
      <w:tr w14:paraId="5ABFB82B"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40C8E8E5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b w:val="0"/>
                <w:bCs w:val="0"/>
                <w:sz w:val="22"/>
                <w:szCs w:val="22"/>
                <w:lang w:val="en-US" w:eastAsia="zh-CN"/>
              </w:rPr>
              <w:t>CÔNG TY TNHH SHANHAIMAP VIỆT NAM</w:t>
            </w:r>
          </w:p>
        </w:tc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62F7C984">
            <w:pPr>
              <w:spacing w:after="0" w:line="280" w:lineRule="auto"/>
            </w:pPr>
          </w:p>
        </w:tc>
      </w:tr>
    </w:tbl>
    <w:p w14:paraId="56E18BE9"/>
    <w:sectPr>
      <w:headerReference r:id="rId5" w:type="default"/>
      <w:footerReference r:id="rId6" w:type="default"/>
      <w:pgSz w:w="11906" w:h="16838"/>
      <w:pgMar w:top="679" w:right="1133" w:bottom="1155" w:left="1440" w:header="567" w:footer="340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 CJK JP Black">
    <w:altName w:val="苹方-简"/>
    <w:panose1 w:val="00000000000000000000"/>
    <w:charset w:val="00"/>
    <w:family w:val="swiss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DengXian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Arial Unicode MS">
    <w:panose1 w:val="020B0604020202020204"/>
    <w:charset w:val="80"/>
    <w:family w:val="swiss"/>
    <w:pitch w:val="default"/>
    <w:sig w:usb0="FFFFFFFF" w:usb1="E9FFFFFF" w:usb2="0000003F" w:usb3="00000000" w:csb0="603F01FF" w:csb1="FFFF0000"/>
  </w:font>
  <w:font w:name="仿宋">
    <w:altName w:val="仿宋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FangSong">
    <w:altName w:val="仿宋-简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Arial Regular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4"/>
      <w:spacing w:after="180"/>
      <w:ind w:left="3228"/>
    </w:pPr>
    <w:r>
      <w:fldChar w:fldCharType="begin" w:dirty="true"/>
    </w:r>
    <w:r>
      <w:instrText xml:space="preserve"> PAGE  \* MERGEFORMAT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 w:dirty="true"/>
    </w:r>
    <w:r>
      <w:instrText xml:space="preserve"> NUMPAGES  \* MERGEFORMAT </w:instrText>
    </w:r>
    <w:r>
      <w:fldChar w:fldCharType="separate"/>
    </w:r>
    <w:r>
      <w:t>18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mc="http://schemas.openxmlformats.org/markup-compatibility/2006" xmlns:ns5="http://schemas.openxmlformats.org/drawingml/2006/picture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wps="http://schemas.microsoft.com/office/word/2010/wordprocessingShape" mc:Ignorable="w14 w15 wp14">
  <w:p w14:paraId="2AF01B37">
    <w:pPr>
      <w:pStyle w:val="5"/>
      <w:wordWrap/>
      <w:spacing w:line="240" w:lineRule="auto"/>
      <w:jc w:val="right"/>
      <w:rPr>
        <w:rFonts w:hint="default" w:ascii="Arial" w:hAnsi="Arial" w:eastAsia="微软雅黑" w:cs="Arial"/>
        <w:b w:val="0"/>
        <w:bCs/>
        <w:color w:val="0039C2"/>
        <w:sz w:val="40"/>
        <w:szCs w:val="40"/>
        <w:shd w:val="clear" w:color="auto" w:fill="FFFFFF"/>
        <w:lang w:val="en-US" w:eastAsia="zh-CN"/>
      </w:rPr>
    </w:pPr>
    <w:bookmarkStart w:id="0" w:name="_GoBack"/>
    <w:bookmarkEnd w:id="0"/>
    <w:r>
      <w:rPr>
        <w:rFonts w:hint="default" w:ascii="Arial" w:hAnsi="Arial" w:eastAsia="微软雅黑" w:cs="Arial"/>
        <w:b w:val="0"/>
        <w:bCs/>
        <w:color w:val="0039C2"/>
        <w:sz w:val="40"/>
        <w:szCs w:val="40"/>
        <w:shd w:val="clear" w:color="auto" w:fill="FFFFFF"/>
        <w:lang w:val="en-US" w:eastAsia="zh-CN"/>
      </w:rPr>
      <w:t>CÔNG TY TNHH SHANHAIMAP VIỆT NAM</w:t>
    </w:r>
  </w:p>
  <w:p w14:paraId="665C0EDC">
    <w:pPr>
      <w:spacing w:after="0" w:line="240" w:lineRule="auto"/>
      <w:jc w:val="right"/>
      <w:rPr>
        <w:rFonts w:hint="default" w:ascii="Arial Regular" w:hAnsi="Arial Regular" w:eastAsia="微软雅黑" w:cs="Arial Regular"/>
        <w:b w:val="0"/>
        <w:bCs/>
        <w:sz w:val="16"/>
        <w:szCs w:val="16"/>
        <w:lang w:val="en-US" w:eastAsia="zh-CN"/>
      </w:rPr>
    </w:pPr>
    <w:r>
      <w:rPr>
        <w:rFonts w:hint="default" w:ascii="Arial Regular" w:hAnsi="Arial Regular" w:eastAsia="微软雅黑" w:cs="Arial Regular"/>
        <w:b w:val="0"/>
        <w:bCs/>
        <w:sz w:val="16"/>
        <w:szCs w:val="16"/>
        <w:lang w:val="en-US" w:eastAsia="zh-CN"/>
      </w:rPr>
      <w:t>Tầng 6, Số 89 Phan Đình Phùng, Phường Phú Nhuận,TPHCM.</w:t>
    </w:r>
  </w:p>
  <w:p w14:paraId="7A0C4B7B">
    <w:pPr>
      <w:spacing w:after="0" w:line="240" w:lineRule="auto"/>
      <w:jc w:val="right"/>
      <w:rPr>
        <w:rFonts w:hint="default" w:ascii="Arial Regular" w:hAnsi="Arial Regular" w:eastAsia="微软雅黑" w:cs="Arial Regular"/>
        <w:b w:val="0"/>
        <w:bCs/>
        <w:sz w:val="16"/>
        <w:szCs w:val="16"/>
        <w:lang w:val="en-US" w:eastAsia="zh-CN"/>
      </w:rPr>
    </w:pPr>
    <w:r>
      <w:rPr>
        <w:rFonts w:hint="default" w:ascii="Arial Regular" w:hAnsi="Arial Regular" w:eastAsia="微软雅黑" w:cs="Arial Regular"/>
        <w:b w:val="0"/>
        <w:bCs/>
        <w:sz w:val="16"/>
        <w:szCs w:val="16"/>
        <w:lang w:val="en-US" w:eastAsia="zh-CN"/>
      </w:rPr>
      <w:t>越南胡志明市富润坊潘廷逢街 89 号 6 楼</w:t>
    </w:r>
  </w:p>
  <w:p w14:paraId="024ECF3D">
    <w:pPr>
      <w:spacing w:after="0" w:line="240" w:lineRule="auto"/>
      <w:jc w:val="center"/>
      <w:rPr>
        <w:rFonts w:hint="default" w:ascii="Arial" w:hAnsi="Arial" w:eastAsia="微软雅黑" w:cs="Arial"/>
        <w:b w:val="0"/>
        <w:bCs w:val="0"/>
        <w:lang w:val="de-DE" w:eastAsia="zh-CN"/>
      </w:rPr>
    </w:pPr>
    <w:r>
      <w:rPr>
        <w:rFonts w:hint="default" w:ascii="Arial" w:hAnsi="Arial" w:cs="Arial"/>
        <w:b w:val="0"/>
        <w:bCs w:val="0"/>
      </w:rPr>
      <w:fldChar w:fldCharType="begin"/>
    </w:r>
    <w:r>
      <w:rPr>
        <w:rFonts w:hint="default" w:ascii="Arial" w:hAnsi="Arial" w:cs="Arial"/>
        <w:b w:val="0"/>
        <w:bCs w:val="0"/>
      </w:rPr>
      <w:instrText xml:space="preserve"> HYPERLINK "http://www.shanhaimap.com" </w:instrText>
    </w:r>
    <w:r>
      <w:rPr>
        <w:rFonts w:hint="default" w:ascii="Arial" w:hAnsi="Arial" w:cs="Arial"/>
        <w:b w:val="0"/>
        <w:bCs w:val="0"/>
      </w:rPr>
      <w:fldChar w:fldCharType="separate"/>
    </w:r>
    <w:r>
      <w:rPr>
        <w:rFonts w:hint="default" w:ascii="Arial" w:hAnsi="Arial" w:eastAsia="微软雅黑" w:cs="Arial"/>
        <w:b w:val="0"/>
        <w:bCs w:val="0"/>
        <w:lang w:val="de-DE" w:eastAsia="zh-CN"/>
      </w:rPr>
      <w:fldChar w:fldCharType="end"/>
    </w:r>
    <w:r>
      <w:rPr>
        <w:rFonts w:hint="default" w:ascii="Arial" w:hAnsi="Arial" w:eastAsia="微软雅黑" w:cs="Arial"/>
        <w:b w:val="0"/>
        <w:bCs w:val="0"/>
        <w:lang w:val="de-DE" w:eastAsia="zh-CN"/>
      </w:rPr>
      <w:t>Web: www.shanhaimap.com</w:t>
    </w:r>
  </w:p>
  <w:p w14:paraId="4270C061">
    <w:pPr>
      <w:pStyle w:val="5"/>
      <w:tabs>
        <w:tab w:val="right" w:pos="10260"/>
      </w:tabs>
      <w:spacing w:line="276" w:lineRule="auto"/>
      <w:ind w:left="1276" w:right="-279"/>
      <w:jc w:val="center"/>
      <w:rPr>
        <w:rFonts w:ascii="Arial" w:hAnsi="Arial" w:cs="Arial" w:eastAsiaTheme="minorEastAsia"/>
        <w:b/>
        <w:bCs/>
        <w:lang w:val="de-DE" w:eastAsia="zh-CN"/>
      </w:rPr>
    </w:pPr>
    <w:r>
      <w:drawing>
        <wp:anchor distT="0" distB="0" distL="114300" distR="114300" simplePos="0" relativeHeight="251661312" behindDoc="1" locked="0" layoutInCell="1" allowOverlap="1">
          <wp:simplePos x="0" y="0"/>
          <wp:positionH relativeFrom="column">
            <wp:posOffset>44450</wp:posOffset>
          </wp:positionH>
          <wp:positionV relativeFrom="paragraph">
            <wp:posOffset>-880110</wp:posOffset>
          </wp:positionV>
          <wp:extent cx="682625" cy="791845"/>
          <wp:effectExtent l="0" t="0" r="53975" b="46355"/>
          <wp:wrapThrough wrapText="bothSides">
            <wp:wrapPolygon>
              <wp:start x="0" y="0"/>
              <wp:lineTo x="0" y="20786"/>
              <wp:lineTo x="20897" y="20786"/>
              <wp:lineTo x="20897" y="0"/>
              <wp:lineTo x="0" y="0"/>
            </wp:wrapPolygon>
          </wp:wrapThrough>
          <wp:docPr id="6" name="Picture 6" descr="Logo Baru SHM 2021"/>
          <wp:cNvGraphicFramePr>
            <a:graphicFrameLocks noChangeAspect="1"/>
          </wp:cNvGraphicFramePr>
          <a:graphic>
            <a:graphicData uri="http://schemas.openxmlformats.org/drawingml/2006/picture">
              <ns5:pic>
                <ns5:nvPicPr>
                  <ns5:cNvPr id="6" name="Picture 6" descr="Logo Baru SHM 2021"/>
                  <ns5:cNvPicPr>
                    <a:picLocks noChangeAspect="1"/>
                  </ns5:cNvPicPr>
                </ns5:nvPicPr>
                <ns5:blipFill>
                  <a:blip r:embed="rId1"/>
                  <a:stretch>
                    <a:fillRect/>
                  </a:stretch>
                </ns5:blipFill>
                <ns5:spPr>
                  <a:xfrm>
                    <a:off x="0" y="0"/>
                    <a:ext cx="682625" cy="791845"/>
                  </a:xfrm>
                  <a:prstGeom prst="rect">
                    <a:avLst/>
                  </a:prstGeom>
                </ns5:spPr>
              </ns5:pic>
            </a:graphicData>
          </a:graphic>
        </wp:anchor>
      </w:drawing>
    </w:r>
    <w:r>
      <w:drawing>
        <wp:anchor distT="0" distB="0" distL="114300" distR="114300" simplePos="0" relativeHeight="251660288" behindDoc="0" locked="0" layoutInCell="1" allowOverlap="1">
          <wp:simplePos x="0" y="0"/>
          <wp:positionH relativeFrom="column">
            <wp:posOffset>-259080</wp:posOffset>
          </wp:positionH>
          <wp:positionV relativeFrom="paragraph">
            <wp:posOffset>38735</wp:posOffset>
          </wp:positionV>
          <wp:extent cx="6405245" cy="0"/>
          <wp:effectExtent l="0" t="19050" r="0" b="19050"/>
          <wp:wrapNone/>
          <wp:docPr id="4" name="直接连接符 4"/>
          <wp:cNvGraphicFramePr/>
          <a:graphic>
            <a:graphicData uri="http://schemas.microsoft.com/office/word/2010/wordprocessingShape">
              <wps:wsp>
                <wps:cNvCnPr/>
                <wps:spPr>
                  <a:xfrm>
                    <a:off x="0" y="0"/>
                    <a:ext cx="6404997" cy="0"/>
                  </a:xfrm>
                  <a:prstGeom prst="line">
                    <a:avLst/>
                  </a:prstGeom>
                  <a:noFill/>
                  <a:ln w="38100" cap="flat" cmpd="sng" algn="ctr">
                    <a:solidFill>
                      <a:srgbClr val="0039C2"/>
                    </a:solidFill>
                    <a:prstDash val="solid"/>
                    <a:miter lim="800000"/>
                  </a:ln>
                  <a:effectLst/>
                </wps:spPr>
                <wps:bodyPr upright="0"/>
              </wps:wsp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6FC5382"/>
    <w:multiLevelType w:val="singleLevel"/>
    <w:tmpl w:val="F6FC5382"/>
    <w:lvl w:ilvl="0" w:tentative="0">
      <w:start w:val="3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2B4F366B"/>
    <w:multiLevelType w:val="multilevel"/>
    <w:tmpl w:val="2B4F366B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8"/>
  <w:bordersDoNotSurroundHeader w:val="0"/>
  <w:bordersDoNotSurroundFooter w:val="0"/>
  <w:hideSpellingErrors/>
  <w:hideGrammaticalErrors/>
  <w:documentProtection w:enforcement="0"/>
  <w:defaultTabStop w:val="720"/>
  <w:displayHorizontalDrawingGridEvery w:val="1"/>
  <w:displayVerticalDrawingGridEvery w:val="1"/>
  <w:noPunctuationKerning w:val="1"/>
  <w:characterSpacingControl w:val="doNotCompress"/>
  <w:updateFields w:val="true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TBlNTViZDQwODFlZmJhNzFiNGUwOGIxNDBkYmU5YWIifQ=="/>
  </w:docVars>
  <w:rsids>
    <w:rsidRoot w:val="00856E39"/>
    <w:rsid w:val="00010E01"/>
    <w:rsid w:val="00011CA8"/>
    <w:rsid w:val="00011DC3"/>
    <w:rsid w:val="00012C94"/>
    <w:rsid w:val="000160E6"/>
    <w:rsid w:val="00017F11"/>
    <w:rsid w:val="00034B60"/>
    <w:rsid w:val="0004343E"/>
    <w:rsid w:val="00045669"/>
    <w:rsid w:val="00045CB1"/>
    <w:rsid w:val="00046B25"/>
    <w:rsid w:val="00051C72"/>
    <w:rsid w:val="00056355"/>
    <w:rsid w:val="000644ED"/>
    <w:rsid w:val="000818D0"/>
    <w:rsid w:val="0009247E"/>
    <w:rsid w:val="00092F43"/>
    <w:rsid w:val="00093147"/>
    <w:rsid w:val="000941F9"/>
    <w:rsid w:val="00096B0D"/>
    <w:rsid w:val="000A26F7"/>
    <w:rsid w:val="000A5F0E"/>
    <w:rsid w:val="000A5F8A"/>
    <w:rsid w:val="000A678D"/>
    <w:rsid w:val="000C2120"/>
    <w:rsid w:val="000C591E"/>
    <w:rsid w:val="000D12FA"/>
    <w:rsid w:val="000F39D9"/>
    <w:rsid w:val="001026D7"/>
    <w:rsid w:val="0010572E"/>
    <w:rsid w:val="001230C6"/>
    <w:rsid w:val="001233FC"/>
    <w:rsid w:val="00127B36"/>
    <w:rsid w:val="00140BA5"/>
    <w:rsid w:val="001424B2"/>
    <w:rsid w:val="00146652"/>
    <w:rsid w:val="001466BC"/>
    <w:rsid w:val="001500D8"/>
    <w:rsid w:val="00156992"/>
    <w:rsid w:val="00162503"/>
    <w:rsid w:val="00165920"/>
    <w:rsid w:val="0017045A"/>
    <w:rsid w:val="00170E19"/>
    <w:rsid w:val="0017685A"/>
    <w:rsid w:val="0018701A"/>
    <w:rsid w:val="00187C47"/>
    <w:rsid w:val="001955D7"/>
    <w:rsid w:val="00197355"/>
    <w:rsid w:val="001A3432"/>
    <w:rsid w:val="001A3B6E"/>
    <w:rsid w:val="001A5D00"/>
    <w:rsid w:val="001B4ECF"/>
    <w:rsid w:val="001B63FA"/>
    <w:rsid w:val="001B7AF5"/>
    <w:rsid w:val="001D4A5E"/>
    <w:rsid w:val="001E0A0F"/>
    <w:rsid w:val="001F2F5D"/>
    <w:rsid w:val="001F38A5"/>
    <w:rsid w:val="001F63F7"/>
    <w:rsid w:val="00204248"/>
    <w:rsid w:val="002232F5"/>
    <w:rsid w:val="002249E7"/>
    <w:rsid w:val="0022537F"/>
    <w:rsid w:val="00232C59"/>
    <w:rsid w:val="0024124F"/>
    <w:rsid w:val="002416FB"/>
    <w:rsid w:val="002460BB"/>
    <w:rsid w:val="00250E7A"/>
    <w:rsid w:val="0025223D"/>
    <w:rsid w:val="00252399"/>
    <w:rsid w:val="002655FC"/>
    <w:rsid w:val="002667EE"/>
    <w:rsid w:val="002746B8"/>
    <w:rsid w:val="00275F8D"/>
    <w:rsid w:val="00290D40"/>
    <w:rsid w:val="002940D8"/>
    <w:rsid w:val="00294DAD"/>
    <w:rsid w:val="002B3951"/>
    <w:rsid w:val="002B4C0D"/>
    <w:rsid w:val="002B588D"/>
    <w:rsid w:val="002C0D03"/>
    <w:rsid w:val="002C21BD"/>
    <w:rsid w:val="002D1D50"/>
    <w:rsid w:val="002D2AE6"/>
    <w:rsid w:val="002D609E"/>
    <w:rsid w:val="002E2351"/>
    <w:rsid w:val="002E328B"/>
    <w:rsid w:val="002F4983"/>
    <w:rsid w:val="002F642D"/>
    <w:rsid w:val="00302388"/>
    <w:rsid w:val="0030605F"/>
    <w:rsid w:val="0030694C"/>
    <w:rsid w:val="00310D68"/>
    <w:rsid w:val="003115A3"/>
    <w:rsid w:val="0032065F"/>
    <w:rsid w:val="003220D3"/>
    <w:rsid w:val="00326B43"/>
    <w:rsid w:val="00345427"/>
    <w:rsid w:val="00350D0D"/>
    <w:rsid w:val="00357020"/>
    <w:rsid w:val="003601CE"/>
    <w:rsid w:val="00363F14"/>
    <w:rsid w:val="0036402B"/>
    <w:rsid w:val="00364292"/>
    <w:rsid w:val="00364A93"/>
    <w:rsid w:val="00371E44"/>
    <w:rsid w:val="00374745"/>
    <w:rsid w:val="00380CC8"/>
    <w:rsid w:val="00390F91"/>
    <w:rsid w:val="00391C6B"/>
    <w:rsid w:val="00393387"/>
    <w:rsid w:val="00396564"/>
    <w:rsid w:val="003B1E71"/>
    <w:rsid w:val="003B3E38"/>
    <w:rsid w:val="003C000E"/>
    <w:rsid w:val="003C3EF0"/>
    <w:rsid w:val="003C5681"/>
    <w:rsid w:val="003C5DC5"/>
    <w:rsid w:val="003D0593"/>
    <w:rsid w:val="003D7154"/>
    <w:rsid w:val="003F1E39"/>
    <w:rsid w:val="003F4D23"/>
    <w:rsid w:val="00427C8D"/>
    <w:rsid w:val="004303C7"/>
    <w:rsid w:val="004305F2"/>
    <w:rsid w:val="00430F85"/>
    <w:rsid w:val="004349B6"/>
    <w:rsid w:val="0044116C"/>
    <w:rsid w:val="00442E0A"/>
    <w:rsid w:val="00455E1C"/>
    <w:rsid w:val="00463C92"/>
    <w:rsid w:val="00464643"/>
    <w:rsid w:val="0046701E"/>
    <w:rsid w:val="0047029E"/>
    <w:rsid w:val="00471C63"/>
    <w:rsid w:val="00485454"/>
    <w:rsid w:val="00487A74"/>
    <w:rsid w:val="0049042A"/>
    <w:rsid w:val="00497979"/>
    <w:rsid w:val="004A4F06"/>
    <w:rsid w:val="004A62C4"/>
    <w:rsid w:val="004B24EB"/>
    <w:rsid w:val="004B2DA0"/>
    <w:rsid w:val="004C3299"/>
    <w:rsid w:val="004C4657"/>
    <w:rsid w:val="004D1FD3"/>
    <w:rsid w:val="004E0261"/>
    <w:rsid w:val="004E0653"/>
    <w:rsid w:val="004E0E4D"/>
    <w:rsid w:val="004E2199"/>
    <w:rsid w:val="004E32CE"/>
    <w:rsid w:val="004E4106"/>
    <w:rsid w:val="004E46B0"/>
    <w:rsid w:val="004E54BA"/>
    <w:rsid w:val="004F0750"/>
    <w:rsid w:val="004F223F"/>
    <w:rsid w:val="004F580A"/>
    <w:rsid w:val="00502408"/>
    <w:rsid w:val="00504D1A"/>
    <w:rsid w:val="00510E20"/>
    <w:rsid w:val="0051668D"/>
    <w:rsid w:val="005246D9"/>
    <w:rsid w:val="005263EF"/>
    <w:rsid w:val="005308B2"/>
    <w:rsid w:val="0053748D"/>
    <w:rsid w:val="0054367E"/>
    <w:rsid w:val="00546B35"/>
    <w:rsid w:val="00552530"/>
    <w:rsid w:val="0055436B"/>
    <w:rsid w:val="00555680"/>
    <w:rsid w:val="005567D0"/>
    <w:rsid w:val="00561650"/>
    <w:rsid w:val="00562FFB"/>
    <w:rsid w:val="0056508D"/>
    <w:rsid w:val="005717B6"/>
    <w:rsid w:val="00572AA8"/>
    <w:rsid w:val="005744C1"/>
    <w:rsid w:val="00574DEB"/>
    <w:rsid w:val="00587D3F"/>
    <w:rsid w:val="00594641"/>
    <w:rsid w:val="005946EB"/>
    <w:rsid w:val="005A573B"/>
    <w:rsid w:val="005A6D57"/>
    <w:rsid w:val="005B4270"/>
    <w:rsid w:val="005B56B0"/>
    <w:rsid w:val="005B67D9"/>
    <w:rsid w:val="005C5301"/>
    <w:rsid w:val="005D0BE4"/>
    <w:rsid w:val="005D5A9B"/>
    <w:rsid w:val="005D7389"/>
    <w:rsid w:val="005E113A"/>
    <w:rsid w:val="005E4355"/>
    <w:rsid w:val="005E7EED"/>
    <w:rsid w:val="005F49DC"/>
    <w:rsid w:val="005F4B3F"/>
    <w:rsid w:val="005F7B15"/>
    <w:rsid w:val="00607D0F"/>
    <w:rsid w:val="00610AEF"/>
    <w:rsid w:val="0061174F"/>
    <w:rsid w:val="00611D09"/>
    <w:rsid w:val="006129B0"/>
    <w:rsid w:val="00615CDE"/>
    <w:rsid w:val="00616C46"/>
    <w:rsid w:val="006208FF"/>
    <w:rsid w:val="0062136A"/>
    <w:rsid w:val="00624922"/>
    <w:rsid w:val="006464BF"/>
    <w:rsid w:val="0065062C"/>
    <w:rsid w:val="00652A4F"/>
    <w:rsid w:val="0065310D"/>
    <w:rsid w:val="0065377D"/>
    <w:rsid w:val="0065646E"/>
    <w:rsid w:val="00662F10"/>
    <w:rsid w:val="006658AF"/>
    <w:rsid w:val="00665E0B"/>
    <w:rsid w:val="0067153D"/>
    <w:rsid w:val="00672EC2"/>
    <w:rsid w:val="00674F0A"/>
    <w:rsid w:val="00680816"/>
    <w:rsid w:val="00683A5C"/>
    <w:rsid w:val="006853C4"/>
    <w:rsid w:val="006A03F9"/>
    <w:rsid w:val="006B1631"/>
    <w:rsid w:val="006B625F"/>
    <w:rsid w:val="006C1C33"/>
    <w:rsid w:val="006E02E3"/>
    <w:rsid w:val="006E3070"/>
    <w:rsid w:val="006E7CF3"/>
    <w:rsid w:val="006E7F72"/>
    <w:rsid w:val="006F5D0B"/>
    <w:rsid w:val="007021FE"/>
    <w:rsid w:val="00703D82"/>
    <w:rsid w:val="00714E01"/>
    <w:rsid w:val="00723BA2"/>
    <w:rsid w:val="00724C79"/>
    <w:rsid w:val="00727165"/>
    <w:rsid w:val="00731553"/>
    <w:rsid w:val="007315C6"/>
    <w:rsid w:val="00732DC9"/>
    <w:rsid w:val="007348E6"/>
    <w:rsid w:val="007356E2"/>
    <w:rsid w:val="007357FB"/>
    <w:rsid w:val="00737A27"/>
    <w:rsid w:val="0074273B"/>
    <w:rsid w:val="00747B6D"/>
    <w:rsid w:val="00751EEA"/>
    <w:rsid w:val="007529FC"/>
    <w:rsid w:val="0075496C"/>
    <w:rsid w:val="00760D93"/>
    <w:rsid w:val="00784C1E"/>
    <w:rsid w:val="007877DF"/>
    <w:rsid w:val="00797F2F"/>
    <w:rsid w:val="007A056D"/>
    <w:rsid w:val="007A15BB"/>
    <w:rsid w:val="007A547A"/>
    <w:rsid w:val="007A7539"/>
    <w:rsid w:val="007B0ED7"/>
    <w:rsid w:val="007B2299"/>
    <w:rsid w:val="007C25C9"/>
    <w:rsid w:val="007C446D"/>
    <w:rsid w:val="007C5008"/>
    <w:rsid w:val="007C53EF"/>
    <w:rsid w:val="007D7728"/>
    <w:rsid w:val="007E0552"/>
    <w:rsid w:val="007F50AF"/>
    <w:rsid w:val="00801B42"/>
    <w:rsid w:val="00820002"/>
    <w:rsid w:val="008206B2"/>
    <w:rsid w:val="00823436"/>
    <w:rsid w:val="0082596E"/>
    <w:rsid w:val="00825D3A"/>
    <w:rsid w:val="00827338"/>
    <w:rsid w:val="00833089"/>
    <w:rsid w:val="00837467"/>
    <w:rsid w:val="008537D7"/>
    <w:rsid w:val="00856E03"/>
    <w:rsid w:val="00856E39"/>
    <w:rsid w:val="00873F76"/>
    <w:rsid w:val="00874140"/>
    <w:rsid w:val="00887288"/>
    <w:rsid w:val="00887A8E"/>
    <w:rsid w:val="00897947"/>
    <w:rsid w:val="008A4669"/>
    <w:rsid w:val="008A494F"/>
    <w:rsid w:val="008B0357"/>
    <w:rsid w:val="008B0FB7"/>
    <w:rsid w:val="008B151B"/>
    <w:rsid w:val="008B190A"/>
    <w:rsid w:val="008B576D"/>
    <w:rsid w:val="008B7297"/>
    <w:rsid w:val="008D6BF5"/>
    <w:rsid w:val="008E5D05"/>
    <w:rsid w:val="008F0597"/>
    <w:rsid w:val="00902255"/>
    <w:rsid w:val="00905C26"/>
    <w:rsid w:val="0093790C"/>
    <w:rsid w:val="00941E20"/>
    <w:rsid w:val="00946961"/>
    <w:rsid w:val="009526DB"/>
    <w:rsid w:val="00957CB1"/>
    <w:rsid w:val="009637DE"/>
    <w:rsid w:val="00973C9F"/>
    <w:rsid w:val="00976D3D"/>
    <w:rsid w:val="0098015E"/>
    <w:rsid w:val="00980BB5"/>
    <w:rsid w:val="009853DA"/>
    <w:rsid w:val="00991621"/>
    <w:rsid w:val="00993975"/>
    <w:rsid w:val="00993E60"/>
    <w:rsid w:val="00996637"/>
    <w:rsid w:val="00997DBF"/>
    <w:rsid w:val="009A0229"/>
    <w:rsid w:val="009A11F6"/>
    <w:rsid w:val="009A2B10"/>
    <w:rsid w:val="009A4CE0"/>
    <w:rsid w:val="009B42BB"/>
    <w:rsid w:val="009B6633"/>
    <w:rsid w:val="009C0AAA"/>
    <w:rsid w:val="009E2445"/>
    <w:rsid w:val="009E365A"/>
    <w:rsid w:val="009E5753"/>
    <w:rsid w:val="009F528D"/>
    <w:rsid w:val="00A04549"/>
    <w:rsid w:val="00A106B7"/>
    <w:rsid w:val="00A15B5C"/>
    <w:rsid w:val="00A21C23"/>
    <w:rsid w:val="00A417BB"/>
    <w:rsid w:val="00A463CD"/>
    <w:rsid w:val="00A70506"/>
    <w:rsid w:val="00A71C3C"/>
    <w:rsid w:val="00A74FAE"/>
    <w:rsid w:val="00A80151"/>
    <w:rsid w:val="00A807D9"/>
    <w:rsid w:val="00A82B95"/>
    <w:rsid w:val="00A82FAE"/>
    <w:rsid w:val="00A8383A"/>
    <w:rsid w:val="00A85394"/>
    <w:rsid w:val="00A92B32"/>
    <w:rsid w:val="00A92F10"/>
    <w:rsid w:val="00A96453"/>
    <w:rsid w:val="00AA4B2B"/>
    <w:rsid w:val="00AA6B16"/>
    <w:rsid w:val="00AB1A3B"/>
    <w:rsid w:val="00AB3902"/>
    <w:rsid w:val="00AB75C8"/>
    <w:rsid w:val="00AB7DB5"/>
    <w:rsid w:val="00AC596A"/>
    <w:rsid w:val="00AE2736"/>
    <w:rsid w:val="00AE78B5"/>
    <w:rsid w:val="00AE7B25"/>
    <w:rsid w:val="00AF5EE7"/>
    <w:rsid w:val="00AF6C35"/>
    <w:rsid w:val="00B07D1A"/>
    <w:rsid w:val="00B14870"/>
    <w:rsid w:val="00B156F0"/>
    <w:rsid w:val="00B160F0"/>
    <w:rsid w:val="00B2422D"/>
    <w:rsid w:val="00B32BAE"/>
    <w:rsid w:val="00B33AC8"/>
    <w:rsid w:val="00B3757B"/>
    <w:rsid w:val="00B50A40"/>
    <w:rsid w:val="00B50CF2"/>
    <w:rsid w:val="00B574BE"/>
    <w:rsid w:val="00B631AC"/>
    <w:rsid w:val="00B72F5B"/>
    <w:rsid w:val="00B826A0"/>
    <w:rsid w:val="00B9286F"/>
    <w:rsid w:val="00B93D30"/>
    <w:rsid w:val="00B977A3"/>
    <w:rsid w:val="00BB3EAB"/>
    <w:rsid w:val="00BC0E1E"/>
    <w:rsid w:val="00BC3A0E"/>
    <w:rsid w:val="00BC6643"/>
    <w:rsid w:val="00BD1C08"/>
    <w:rsid w:val="00BD5CDD"/>
    <w:rsid w:val="00C0051F"/>
    <w:rsid w:val="00C01DF7"/>
    <w:rsid w:val="00C104FC"/>
    <w:rsid w:val="00C1107A"/>
    <w:rsid w:val="00C31BB5"/>
    <w:rsid w:val="00C3538D"/>
    <w:rsid w:val="00C37BC3"/>
    <w:rsid w:val="00C408E3"/>
    <w:rsid w:val="00C423CD"/>
    <w:rsid w:val="00C424A2"/>
    <w:rsid w:val="00C43DAB"/>
    <w:rsid w:val="00C65A29"/>
    <w:rsid w:val="00C701B8"/>
    <w:rsid w:val="00C7408C"/>
    <w:rsid w:val="00C74720"/>
    <w:rsid w:val="00C74A47"/>
    <w:rsid w:val="00C756C3"/>
    <w:rsid w:val="00C76B33"/>
    <w:rsid w:val="00C76C0D"/>
    <w:rsid w:val="00C82651"/>
    <w:rsid w:val="00C84BC7"/>
    <w:rsid w:val="00C87F38"/>
    <w:rsid w:val="00C90D69"/>
    <w:rsid w:val="00C921D8"/>
    <w:rsid w:val="00CA3267"/>
    <w:rsid w:val="00CA473C"/>
    <w:rsid w:val="00CA521F"/>
    <w:rsid w:val="00CA62FA"/>
    <w:rsid w:val="00CC0008"/>
    <w:rsid w:val="00CC4E37"/>
    <w:rsid w:val="00CC6193"/>
    <w:rsid w:val="00CD4E4D"/>
    <w:rsid w:val="00CD6E04"/>
    <w:rsid w:val="00CE52D7"/>
    <w:rsid w:val="00CE678B"/>
    <w:rsid w:val="00CF4084"/>
    <w:rsid w:val="00D018F2"/>
    <w:rsid w:val="00D03B69"/>
    <w:rsid w:val="00D056C4"/>
    <w:rsid w:val="00D05BC2"/>
    <w:rsid w:val="00D06FFD"/>
    <w:rsid w:val="00D11F07"/>
    <w:rsid w:val="00D16F73"/>
    <w:rsid w:val="00D32CEB"/>
    <w:rsid w:val="00D330BC"/>
    <w:rsid w:val="00D406CD"/>
    <w:rsid w:val="00D414B8"/>
    <w:rsid w:val="00D41760"/>
    <w:rsid w:val="00D435CF"/>
    <w:rsid w:val="00D512B5"/>
    <w:rsid w:val="00D53F4E"/>
    <w:rsid w:val="00D62E7B"/>
    <w:rsid w:val="00D6639F"/>
    <w:rsid w:val="00D76493"/>
    <w:rsid w:val="00D77432"/>
    <w:rsid w:val="00D777BA"/>
    <w:rsid w:val="00D94E0E"/>
    <w:rsid w:val="00DA173C"/>
    <w:rsid w:val="00DA3681"/>
    <w:rsid w:val="00DB0B14"/>
    <w:rsid w:val="00DB6D1F"/>
    <w:rsid w:val="00DC0C80"/>
    <w:rsid w:val="00DD40D9"/>
    <w:rsid w:val="00DE666F"/>
    <w:rsid w:val="00DE6735"/>
    <w:rsid w:val="00DF2D23"/>
    <w:rsid w:val="00DF4955"/>
    <w:rsid w:val="00E00566"/>
    <w:rsid w:val="00E06561"/>
    <w:rsid w:val="00E07105"/>
    <w:rsid w:val="00E07CBD"/>
    <w:rsid w:val="00E07CE3"/>
    <w:rsid w:val="00E1440F"/>
    <w:rsid w:val="00E23419"/>
    <w:rsid w:val="00E24646"/>
    <w:rsid w:val="00E2633F"/>
    <w:rsid w:val="00E32496"/>
    <w:rsid w:val="00E33500"/>
    <w:rsid w:val="00E37A0E"/>
    <w:rsid w:val="00E45309"/>
    <w:rsid w:val="00E503A8"/>
    <w:rsid w:val="00E52738"/>
    <w:rsid w:val="00E53C26"/>
    <w:rsid w:val="00E625AE"/>
    <w:rsid w:val="00E66294"/>
    <w:rsid w:val="00E82741"/>
    <w:rsid w:val="00E82A6F"/>
    <w:rsid w:val="00E8664B"/>
    <w:rsid w:val="00E90295"/>
    <w:rsid w:val="00E9183B"/>
    <w:rsid w:val="00E91D28"/>
    <w:rsid w:val="00E922E4"/>
    <w:rsid w:val="00E92E51"/>
    <w:rsid w:val="00EA08EE"/>
    <w:rsid w:val="00EA0BE1"/>
    <w:rsid w:val="00EA0FCC"/>
    <w:rsid w:val="00EB2607"/>
    <w:rsid w:val="00EB3DF1"/>
    <w:rsid w:val="00EB6F64"/>
    <w:rsid w:val="00EC3B5D"/>
    <w:rsid w:val="00EC4D50"/>
    <w:rsid w:val="00EC57AE"/>
    <w:rsid w:val="00ED1D8D"/>
    <w:rsid w:val="00ED2ACC"/>
    <w:rsid w:val="00ED37A5"/>
    <w:rsid w:val="00EE152C"/>
    <w:rsid w:val="00EE3E9E"/>
    <w:rsid w:val="00EE6D56"/>
    <w:rsid w:val="00EF51D4"/>
    <w:rsid w:val="00F02EA6"/>
    <w:rsid w:val="00F105EF"/>
    <w:rsid w:val="00F16006"/>
    <w:rsid w:val="00F200A4"/>
    <w:rsid w:val="00F27B67"/>
    <w:rsid w:val="00F320B6"/>
    <w:rsid w:val="00F33C18"/>
    <w:rsid w:val="00F346AC"/>
    <w:rsid w:val="00F36F5B"/>
    <w:rsid w:val="00F46975"/>
    <w:rsid w:val="00F504E4"/>
    <w:rsid w:val="00F576E7"/>
    <w:rsid w:val="00F57E80"/>
    <w:rsid w:val="00F6744C"/>
    <w:rsid w:val="00F83DCE"/>
    <w:rsid w:val="00F83E08"/>
    <w:rsid w:val="00F84271"/>
    <w:rsid w:val="00FA0921"/>
    <w:rsid w:val="00FB3D62"/>
    <w:rsid w:val="00FB63C4"/>
    <w:rsid w:val="00FB7E78"/>
    <w:rsid w:val="00FC5C25"/>
    <w:rsid w:val="00FC6528"/>
    <w:rsid w:val="00FD1112"/>
    <w:rsid w:val="00FD2AA6"/>
    <w:rsid w:val="00FF7C04"/>
    <w:rsid w:val="01C00AFA"/>
    <w:rsid w:val="031B3C53"/>
    <w:rsid w:val="0414071D"/>
    <w:rsid w:val="05D3076F"/>
    <w:rsid w:val="06430E31"/>
    <w:rsid w:val="07237EA0"/>
    <w:rsid w:val="07EE448B"/>
    <w:rsid w:val="08BD3A1C"/>
    <w:rsid w:val="0C261620"/>
    <w:rsid w:val="0D894C89"/>
    <w:rsid w:val="0EEAEE03"/>
    <w:rsid w:val="0F2F332B"/>
    <w:rsid w:val="0FF7D83B"/>
    <w:rsid w:val="120758F8"/>
    <w:rsid w:val="14744C68"/>
    <w:rsid w:val="15321997"/>
    <w:rsid w:val="15B84815"/>
    <w:rsid w:val="15D5268A"/>
    <w:rsid w:val="16BD3EC5"/>
    <w:rsid w:val="17761249"/>
    <w:rsid w:val="181A246B"/>
    <w:rsid w:val="18EC69DF"/>
    <w:rsid w:val="1A8F2AE1"/>
    <w:rsid w:val="1BDF7371"/>
    <w:rsid w:val="1D4622ED"/>
    <w:rsid w:val="1D636CF6"/>
    <w:rsid w:val="1D874AD8"/>
    <w:rsid w:val="1D8E094C"/>
    <w:rsid w:val="1DAD3962"/>
    <w:rsid w:val="1DDA5B1A"/>
    <w:rsid w:val="1FDFA56B"/>
    <w:rsid w:val="20045643"/>
    <w:rsid w:val="20256A06"/>
    <w:rsid w:val="2080575F"/>
    <w:rsid w:val="21630240"/>
    <w:rsid w:val="21C200C6"/>
    <w:rsid w:val="220B4883"/>
    <w:rsid w:val="23FC3C42"/>
    <w:rsid w:val="252E07FB"/>
    <w:rsid w:val="26396546"/>
    <w:rsid w:val="271A305E"/>
    <w:rsid w:val="278D02FC"/>
    <w:rsid w:val="2A356F5A"/>
    <w:rsid w:val="2AFF38B9"/>
    <w:rsid w:val="2B7E18C1"/>
    <w:rsid w:val="2CEB4EE3"/>
    <w:rsid w:val="2DBD6BB4"/>
    <w:rsid w:val="2E63007C"/>
    <w:rsid w:val="2FC40845"/>
    <w:rsid w:val="2FD761A3"/>
    <w:rsid w:val="2FEF6C8F"/>
    <w:rsid w:val="30995A74"/>
    <w:rsid w:val="31817E9E"/>
    <w:rsid w:val="31B86B15"/>
    <w:rsid w:val="33EB570D"/>
    <w:rsid w:val="36CC1840"/>
    <w:rsid w:val="3777BE6A"/>
    <w:rsid w:val="3ACB7C1F"/>
    <w:rsid w:val="3B42554A"/>
    <w:rsid w:val="3B7B68CC"/>
    <w:rsid w:val="3BBD0D5C"/>
    <w:rsid w:val="3BFB1C88"/>
    <w:rsid w:val="3DD94C85"/>
    <w:rsid w:val="3EC9243F"/>
    <w:rsid w:val="3F5F591B"/>
    <w:rsid w:val="3F8F8417"/>
    <w:rsid w:val="3F9285E0"/>
    <w:rsid w:val="3FA65A02"/>
    <w:rsid w:val="3FCC083B"/>
    <w:rsid w:val="412A2E87"/>
    <w:rsid w:val="429B3DB9"/>
    <w:rsid w:val="43F76AE6"/>
    <w:rsid w:val="44CC6046"/>
    <w:rsid w:val="44D4386D"/>
    <w:rsid w:val="45454746"/>
    <w:rsid w:val="47177187"/>
    <w:rsid w:val="474D3D17"/>
    <w:rsid w:val="479B514F"/>
    <w:rsid w:val="48BF66C2"/>
    <w:rsid w:val="48E16CB8"/>
    <w:rsid w:val="4B13594E"/>
    <w:rsid w:val="4D9BFC77"/>
    <w:rsid w:val="4EF5E022"/>
    <w:rsid w:val="501A4937"/>
    <w:rsid w:val="514C17ED"/>
    <w:rsid w:val="526468BE"/>
    <w:rsid w:val="533FFD10"/>
    <w:rsid w:val="55265695"/>
    <w:rsid w:val="55593312"/>
    <w:rsid w:val="557D4C35"/>
    <w:rsid w:val="55F24813"/>
    <w:rsid w:val="57F103D0"/>
    <w:rsid w:val="58544147"/>
    <w:rsid w:val="586C3602"/>
    <w:rsid w:val="5BFFDFBD"/>
    <w:rsid w:val="5D5DEE61"/>
    <w:rsid w:val="5DDE82A2"/>
    <w:rsid w:val="5DE6A359"/>
    <w:rsid w:val="5E1D09D0"/>
    <w:rsid w:val="5E7C22F4"/>
    <w:rsid w:val="5E9F754A"/>
    <w:rsid w:val="5FEEA0DA"/>
    <w:rsid w:val="5FF67928"/>
    <w:rsid w:val="608B23E6"/>
    <w:rsid w:val="618C45B4"/>
    <w:rsid w:val="62034376"/>
    <w:rsid w:val="620B2291"/>
    <w:rsid w:val="63201AF6"/>
    <w:rsid w:val="635C20CB"/>
    <w:rsid w:val="65354B2E"/>
    <w:rsid w:val="6773BE62"/>
    <w:rsid w:val="677EF487"/>
    <w:rsid w:val="68F87327"/>
    <w:rsid w:val="694D610D"/>
    <w:rsid w:val="699975D9"/>
    <w:rsid w:val="6AAA0A08"/>
    <w:rsid w:val="6ADF11D7"/>
    <w:rsid w:val="6BFAA11C"/>
    <w:rsid w:val="6C0A7533"/>
    <w:rsid w:val="6D08089B"/>
    <w:rsid w:val="6D2B3276"/>
    <w:rsid w:val="6DA31384"/>
    <w:rsid w:val="6EFF96FB"/>
    <w:rsid w:val="6F23736B"/>
    <w:rsid w:val="6FB5E437"/>
    <w:rsid w:val="6FBD6F2E"/>
    <w:rsid w:val="6FF7E971"/>
    <w:rsid w:val="70FB4485"/>
    <w:rsid w:val="71C1672B"/>
    <w:rsid w:val="73073E7D"/>
    <w:rsid w:val="7313696E"/>
    <w:rsid w:val="74047794"/>
    <w:rsid w:val="75391269"/>
    <w:rsid w:val="757F47BA"/>
    <w:rsid w:val="75D7FC35"/>
    <w:rsid w:val="75D90501"/>
    <w:rsid w:val="75F6721C"/>
    <w:rsid w:val="766E3CB5"/>
    <w:rsid w:val="77757F77"/>
    <w:rsid w:val="78EC4051"/>
    <w:rsid w:val="793D4655"/>
    <w:rsid w:val="799A617B"/>
    <w:rsid w:val="7B7140CA"/>
    <w:rsid w:val="7B7723FB"/>
    <w:rsid w:val="7B99ECB8"/>
    <w:rsid w:val="7BBF05E9"/>
    <w:rsid w:val="7BDD543D"/>
    <w:rsid w:val="7BEF1595"/>
    <w:rsid w:val="7D1E5E3A"/>
    <w:rsid w:val="7DB73519"/>
    <w:rsid w:val="7DB84119"/>
    <w:rsid w:val="7DF6FB41"/>
    <w:rsid w:val="7E86468E"/>
    <w:rsid w:val="7EBF65EC"/>
    <w:rsid w:val="7EE995B2"/>
    <w:rsid w:val="7EFF68D4"/>
    <w:rsid w:val="7EFFCD06"/>
    <w:rsid w:val="7FAA638C"/>
    <w:rsid w:val="7FD7615D"/>
    <w:rsid w:val="7FF63B06"/>
    <w:rsid w:val="7FF7552A"/>
    <w:rsid w:val="7FF84809"/>
    <w:rsid w:val="7FFF7AD8"/>
    <w:rsid w:val="7FFFAE4C"/>
    <w:rsid w:val="87EFD2EC"/>
    <w:rsid w:val="8EFE4491"/>
    <w:rsid w:val="9137EFD5"/>
    <w:rsid w:val="97DF8C8D"/>
    <w:rsid w:val="98EEE348"/>
    <w:rsid w:val="9AB70D98"/>
    <w:rsid w:val="9BD7EF83"/>
    <w:rsid w:val="9D7F3FB9"/>
    <w:rsid w:val="9EDFBD6A"/>
    <w:rsid w:val="9FBFA513"/>
    <w:rsid w:val="AFFD733D"/>
    <w:rsid w:val="B8EBFB59"/>
    <w:rsid w:val="BB7F2968"/>
    <w:rsid w:val="BBFFFA09"/>
    <w:rsid w:val="BDFFC510"/>
    <w:rsid w:val="BF5F7FB6"/>
    <w:rsid w:val="BF9EB9DA"/>
    <w:rsid w:val="BFAFBCE6"/>
    <w:rsid w:val="BFB696A2"/>
    <w:rsid w:val="BFDF36D4"/>
    <w:rsid w:val="BFEF6E8F"/>
    <w:rsid w:val="C1B5D1A0"/>
    <w:rsid w:val="C5F7C48C"/>
    <w:rsid w:val="C7EF45BE"/>
    <w:rsid w:val="CA5F1CB1"/>
    <w:rsid w:val="CC3DB5C9"/>
    <w:rsid w:val="CCDF4864"/>
    <w:rsid w:val="CDF62A6D"/>
    <w:rsid w:val="D2DF5404"/>
    <w:rsid w:val="D5BB3ED7"/>
    <w:rsid w:val="D772738B"/>
    <w:rsid w:val="D7B244E0"/>
    <w:rsid w:val="D7D70942"/>
    <w:rsid w:val="D7FF55AF"/>
    <w:rsid w:val="DA8D4C10"/>
    <w:rsid w:val="DB7EC565"/>
    <w:rsid w:val="DBFD4CB0"/>
    <w:rsid w:val="DCBF05AD"/>
    <w:rsid w:val="DDB71E72"/>
    <w:rsid w:val="DEDF7C59"/>
    <w:rsid w:val="DF7BE9F8"/>
    <w:rsid w:val="DFDE0ADA"/>
    <w:rsid w:val="DFEFF3B4"/>
    <w:rsid w:val="DFFB02B8"/>
    <w:rsid w:val="DFFD782D"/>
    <w:rsid w:val="DFFE0420"/>
    <w:rsid w:val="E5B9CEF3"/>
    <w:rsid w:val="E7FA3E86"/>
    <w:rsid w:val="EBFF7CCE"/>
    <w:rsid w:val="EF75090B"/>
    <w:rsid w:val="EFDDD2BE"/>
    <w:rsid w:val="EFDFDC01"/>
    <w:rsid w:val="EFEDB337"/>
    <w:rsid w:val="EFFDF154"/>
    <w:rsid w:val="EFFF95B0"/>
    <w:rsid w:val="F1EF3895"/>
    <w:rsid w:val="F3D73CC4"/>
    <w:rsid w:val="F3EF7E87"/>
    <w:rsid w:val="F6C7654A"/>
    <w:rsid w:val="F6EB2067"/>
    <w:rsid w:val="F6FFB050"/>
    <w:rsid w:val="F76127D3"/>
    <w:rsid w:val="F79F4BF1"/>
    <w:rsid w:val="F7E8CFF7"/>
    <w:rsid w:val="F7FB68DC"/>
    <w:rsid w:val="F8BE094E"/>
    <w:rsid w:val="F945E7EA"/>
    <w:rsid w:val="FAE932EB"/>
    <w:rsid w:val="FAF75397"/>
    <w:rsid w:val="FB1CF5C3"/>
    <w:rsid w:val="FB3F506C"/>
    <w:rsid w:val="FBAAB394"/>
    <w:rsid w:val="FBAFCF7C"/>
    <w:rsid w:val="FBDFB133"/>
    <w:rsid w:val="FBDFCDE9"/>
    <w:rsid w:val="FBE6483A"/>
    <w:rsid w:val="FBF7A49F"/>
    <w:rsid w:val="FBFF0FCF"/>
    <w:rsid w:val="FCB61E59"/>
    <w:rsid w:val="FD396301"/>
    <w:rsid w:val="FD3A3C1A"/>
    <w:rsid w:val="FD9E9789"/>
    <w:rsid w:val="FE3B71BA"/>
    <w:rsid w:val="FEDB986F"/>
    <w:rsid w:val="FEE9AD1F"/>
    <w:rsid w:val="FEF1B668"/>
    <w:rsid w:val="FF16D043"/>
    <w:rsid w:val="FF5E55B8"/>
    <w:rsid w:val="FF6FC4C9"/>
    <w:rsid w:val="FF9BCE98"/>
    <w:rsid w:val="FFAB94D0"/>
    <w:rsid w:val="FFAF6A72"/>
    <w:rsid w:val="FFBFE082"/>
    <w:rsid w:val="FFD66F8E"/>
    <w:rsid w:val="FFEB7B29"/>
    <w:rsid w:val="FFF34FB1"/>
    <w:rsid w:val="FFFD2C78"/>
    <w:rsid w:val="FFFFF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styleId="2">
    <w:name w:val="heading 1"/>
    <w:basedOn w:val="1"/>
    <w:next w:val="1"/>
    <w:link w:val="22"/>
    <w:qFormat/>
    <w:uiPriority w:val="9"/>
    <w:pPr>
      <w:keepNext/>
      <w:keepLines/>
      <w:spacing w:before="340" w:after="330" w:line="576" w:lineRule="auto"/>
      <w:outlineLvl w:val="0"/>
    </w:pPr>
    <w:rPr>
      <w:rFonts w:eastAsia="宋体"/>
      <w:b/>
      <w:kern w:val="44"/>
      <w:sz w:val="44"/>
      <w:lang w:val="en-US" w:eastAsia="en-US"/>
    </w:rPr>
  </w:style>
  <w:style w:type="paragraph" w:styleId="3">
    <w:name w:val="heading 2"/>
    <w:basedOn w:val="1"/>
    <w:next w:val="1"/>
    <w:link w:val="45"/>
    <w:semiHidden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12">
    <w:name w:val="Default Paragraph Font"/>
    <w:unhideWhenUsed/>
    <w:uiPriority w:val="1"/>
  </w:style>
  <w:style w:type="table" w:default="1" w:styleId="1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180" w:after="180"/>
    </w:pPr>
    <w:rPr>
      <w:rFonts w:eastAsia="Calibri"/>
      <w:sz w:val="24"/>
      <w:szCs w:val="24"/>
      <w:lang w:eastAsia="en-US"/>
    </w:rPr>
  </w:style>
  <w:style w:type="paragraph" w:styleId="5">
    <w:name w:val="Balloon Text"/>
    <w:basedOn w:val="1"/>
    <w:link w:val="41"/>
    <w:semiHidden/>
    <w:unhideWhenUsed/>
    <w:qFormat/>
    <w:uiPriority w:val="99"/>
    <w:pPr>
      <w:spacing w:after="0" w:line="240" w:lineRule="auto"/>
    </w:pPr>
    <w:rPr>
      <w:sz w:val="18"/>
      <w:szCs w:val="18"/>
    </w:rPr>
  </w:style>
  <w:style w:type="paragraph" w:styleId="6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5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8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hAnsi="宋体" w:cs="宋体"/>
      <w:sz w:val="24"/>
      <w:szCs w:val="24"/>
    </w:rPr>
  </w:style>
  <w:style w:type="paragraph" w:styleId="9">
    <w:name w:val="Normal (Web)"/>
    <w:basedOn w:val="1"/>
    <w:unhideWhenUsed/>
    <w:qFormat/>
    <w:uiPriority w:val="99"/>
    <w:pPr>
      <w:spacing w:beforeAutospacing="1" w:after="0" w:afterAutospacing="1"/>
    </w:pPr>
    <w:rPr>
      <w:rFonts w:eastAsia="宋体" w:cs="Times New Roman"/>
      <w:sz w:val="24"/>
      <w:lang w:val="en-US"/>
    </w:rPr>
  </w:style>
  <w:style w:type="table" w:styleId="11">
    <w:name w:val="Table Grid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Emphasis"/>
    <w:basedOn w:val="12"/>
    <w:qFormat/>
    <w:uiPriority w:val="20"/>
    <w:rPr>
      <w:i/>
      <w:iCs/>
    </w:rPr>
  </w:style>
  <w:style w:type="character" w:styleId="14">
    <w:name w:val="Hyperlink"/>
    <w:basedOn w:val="1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5">
    <w:name w:val="Header Char"/>
    <w:basedOn w:val="12"/>
    <w:link w:val="7"/>
    <w:qFormat/>
    <w:uiPriority w:val="99"/>
    <w:rPr>
      <w:lang w:val="id-ID"/>
    </w:rPr>
  </w:style>
  <w:style w:type="paragraph" w:styleId="16">
    <w:name w:val="Intense Quote"/>
    <w:basedOn w:val="1"/>
    <w:next w:val="1"/>
    <w:link w:val="17"/>
    <w:qFormat/>
    <w:uiPriority w:val="30"/>
    <w:pPr>
      <w:pBdr>
        <w:bottom w:val="single" w:color="4472C4" w:themeColor="accent1" w:sz="4" w:space="4"/>
      </w:pBdr>
      <w:spacing w:before="200" w:after="280"/>
      <w:ind w:left="936" w:right="936"/>
    </w:pPr>
    <w:rPr>
      <w:b/>
      <w:bCs/>
      <w:i/>
      <w:iCs/>
      <w:color w:val="4472C4" w:themeColor="accent1"/>
      <w14:textFill>
        <w14:solidFill>
          <w14:schemeClr w14:val="accent1"/>
        </w14:solidFill>
      </w14:textFill>
    </w:rPr>
  </w:style>
  <w:style w:type="character" w:customStyle="1" w:styleId="17">
    <w:name w:val="Intense Quote Char"/>
    <w:basedOn w:val="12"/>
    <w:link w:val="16"/>
    <w:qFormat/>
    <w:uiPriority w:val="30"/>
    <w:rPr>
      <w:b/>
      <w:bCs/>
      <w:i/>
      <w:iCs/>
      <w:color w:val="4472C4" w:themeColor="accent1"/>
      <w:lang w:val="id-ID"/>
      <w14:textFill>
        <w14:solidFill>
          <w14:schemeClr w14:val="accent1"/>
        </w14:solidFill>
      </w14:textFill>
    </w:rPr>
  </w:style>
  <w:style w:type="paragraph" w:styleId="18">
    <w:name w:val="No Spacing"/>
    <w:qFormat/>
    <w:uiPriority w:val="1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customStyle="1" w:styleId="19">
    <w:name w:val="正文1"/>
    <w:qFormat/>
    <w:uiPriority w:val="0"/>
    <w:pPr>
      <w:spacing w:before="100" w:beforeAutospacing="1" w:after="100" w:afterAutospacing="1" w:line="273" w:lineRule="auto"/>
    </w:pPr>
    <w:rPr>
      <w:rFonts w:ascii="Calibri" w:hAnsi="Calibri" w:eastAsia="宋体" w:cs="Times New Roman"/>
      <w:sz w:val="24"/>
      <w:szCs w:val="24"/>
      <w:lang w:val="id-ID" w:eastAsia="zh-CN" w:bidi="ar-SA"/>
    </w:rPr>
  </w:style>
  <w:style w:type="paragraph" w:customStyle="1" w:styleId="20">
    <w:name w:val="页脚1"/>
    <w:basedOn w:val="1"/>
    <w:semiHidden/>
    <w:qFormat/>
    <w:uiPriority w:val="0"/>
    <w:pPr>
      <w:spacing w:before="100" w:beforeAutospacing="1" w:after="100" w:afterAutospacing="1" w:line="240" w:lineRule="auto"/>
    </w:pPr>
    <w:rPr>
      <w:rFonts w:ascii="Calibri" w:hAnsi="Calibri" w:eastAsia="宋体" w:cs="Times New Roman"/>
      <w:sz w:val="24"/>
      <w:szCs w:val="24"/>
    </w:rPr>
  </w:style>
  <w:style w:type="table" w:customStyle="1" w:styleId="21">
    <w:name w:val="Table Grid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2">
    <w:name w:val="Heading 1 Char"/>
    <w:basedOn w:val="12"/>
    <w:link w:val="2"/>
    <w:qFormat/>
    <w:uiPriority w:val="9"/>
    <w:rPr>
      <w:rFonts w:eastAsia="宋体"/>
      <w:b/>
      <w:kern w:val="44"/>
      <w:sz w:val="44"/>
      <w:lang w:eastAsia="en-US"/>
    </w:rPr>
  </w:style>
  <w:style w:type="table" w:customStyle="1" w:styleId="23">
    <w:name w:val="网格型1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table" w:customStyle="1" w:styleId="24">
    <w:name w:val="Table Grid3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5">
    <w:name w:val="List Paragraph"/>
    <w:basedOn w:val="1"/>
    <w:link w:val="43"/>
    <w:qFormat/>
    <w:uiPriority w:val="34"/>
    <w:pPr>
      <w:ind w:left="720"/>
      <w:contextualSpacing/>
    </w:pPr>
  </w:style>
  <w:style w:type="table" w:customStyle="1" w:styleId="26">
    <w:name w:val="Table Grid2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7">
    <w:name w:val="Table Grid1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8">
    <w:name w:val="Table Grid5"/>
    <w:basedOn w:val="10"/>
    <w:qFormat/>
    <w:uiPriority w:val="39"/>
    <w:rPr>
      <w:rFonts w:asciiTheme="minorHAnsi" w:hAnsiTheme="minorHAnsi" w:eastAsiaTheme="minorEastAsia" w:cstheme="minorBid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9">
    <w:name w:val="Table Grid2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0">
    <w:name w:val="Table Grid3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1">
    <w:name w:val="Table Grid4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2">
    <w:name w:val="网格型13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paragraph" w:customStyle="1" w:styleId="33">
    <w:name w:val="Table Paragraph"/>
    <w:basedOn w:val="1"/>
    <w:qFormat/>
    <w:uiPriority w:val="1"/>
    <w:pPr>
      <w:widowControl w:val="0"/>
      <w:autoSpaceDE w:val="0"/>
      <w:autoSpaceDN w:val="0"/>
      <w:spacing w:after="0" w:line="388" w:lineRule="exact"/>
      <w:ind w:left="107"/>
    </w:pPr>
    <w:rPr>
      <w:rFonts w:ascii="Noto Sans CJK JP Black" w:hAnsi="Noto Sans CJK JP Black" w:eastAsia="Noto Sans CJK JP Black" w:cs="Noto Sans CJK JP Black"/>
      <w:lang w:val="en-US" w:eastAsia="en-US"/>
    </w:rPr>
  </w:style>
  <w:style w:type="table" w:customStyle="1" w:styleId="34">
    <w:name w:val="Table Grid6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5">
    <w:name w:val="Table Grid7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6">
    <w:name w:val="Table Grid8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7">
    <w:name w:val="Table Grid32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8">
    <w:name w:val="Table Grid33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9">
    <w:name w:val="列出段落 Char"/>
    <w:qFormat/>
    <w:uiPriority w:val="34"/>
    <w:rPr>
      <w:rFonts w:asciiTheme="minorHAnsi" w:hAnsiTheme="minorHAnsi" w:eastAsiaTheme="minorEastAsia" w:cstheme="minorBidi"/>
      <w:sz w:val="22"/>
      <w:szCs w:val="22"/>
      <w:lang w:val="id-ID"/>
    </w:rPr>
  </w:style>
  <w:style w:type="character" w:customStyle="1" w:styleId="40">
    <w:name w:val="normaltextrun"/>
    <w:basedOn w:val="12"/>
    <w:qFormat/>
    <w:uiPriority w:val="0"/>
  </w:style>
  <w:style w:type="character" w:customStyle="1" w:styleId="41">
    <w:name w:val="Balloon Text Char"/>
    <w:basedOn w:val="12"/>
    <w:link w:val="5"/>
    <w:semiHidden/>
    <w:qFormat/>
    <w:uiPriority w:val="99"/>
    <w:rPr>
      <w:rFonts w:asciiTheme="minorHAnsi" w:hAnsiTheme="minorHAnsi" w:eastAsiaTheme="minorEastAsia" w:cstheme="minorBidi"/>
      <w:sz w:val="18"/>
      <w:szCs w:val="18"/>
      <w:lang w:val="id-ID"/>
    </w:rPr>
  </w:style>
  <w:style w:type="paragraph" w:customStyle="1" w:styleId="42">
    <w:name w:val="msolistparagraph"/>
    <w:qFormat/>
    <w:uiPriority w:val="0"/>
    <w:pPr>
      <w:spacing w:after="200" w:line="276" w:lineRule="auto"/>
      <w:ind w:left="720"/>
      <w:contextualSpacing/>
    </w:pPr>
    <w:rPr>
      <w:rFonts w:ascii="Calibri" w:hAnsi="Calibri" w:eastAsia="DengXian" w:cs="Times New Roman"/>
      <w:sz w:val="22"/>
      <w:szCs w:val="22"/>
      <w:lang w:val="en-US" w:eastAsia="zh-CN" w:bidi="ar-SA"/>
    </w:rPr>
  </w:style>
  <w:style w:type="character" w:customStyle="1" w:styleId="43">
    <w:name w:val="List Paragraph Char"/>
    <w:link w:val="25"/>
    <w:qFormat/>
    <w:uiPriority w:val="34"/>
    <w:rPr>
      <w:rFonts w:hint="default" w:ascii="Calibri" w:hAnsi="Calibri" w:eastAsia="DengXian" w:cs="Times New Roman"/>
      <w:sz w:val="22"/>
      <w:szCs w:val="22"/>
      <w:lang w:val="id-ID"/>
    </w:rPr>
  </w:style>
  <w:style w:type="paragraph" w:customStyle="1" w:styleId="44">
    <w:name w:val="Badan"/>
    <w:qFormat/>
    <w:uiPriority w:val="0"/>
    <w:rPr>
      <w:rFonts w:hint="eastAsia" w:ascii="Arial Unicode MS" w:hAnsi="Arial Unicode MS" w:eastAsia="Arial Unicode MS" w:cs="Arial Unicode MS"/>
      <w:color w:val="000000"/>
      <w:sz w:val="22"/>
      <w:szCs w:val="22"/>
      <w:lang w:val="zh-TW" w:eastAsia="zh-TW" w:bidi="ar-SA"/>
    </w:rPr>
  </w:style>
  <w:style w:type="character" w:customStyle="1" w:styleId="45">
    <w:name w:val="Heading 2 Char"/>
    <w:basedOn w:val="12"/>
    <w:link w:val="3"/>
    <w:semiHidden/>
    <w:uiPriority w:val="9"/>
    <w:rPr>
      <w:rFonts w:asciiTheme="majorHAnsi" w:hAnsiTheme="majorHAnsi" w:eastAsiaTheme="majorEastAsia" w:cstheme="majorBidi"/>
      <w:b/>
      <w:bCs/>
      <w:sz w:val="32"/>
      <w:szCs w:val="32"/>
      <w:lang w:val="id-I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StyleName="APA" SelectedStyle="\APASixthEditionOfficeOnline.xsl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C8041A1-1842-4F02-82A7-AB2FFF0616E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5693</Words>
  <Characters>6585</Characters>
  <Lines>58</Lines>
  <Paragraphs>16</Paragraphs>
  <TotalTime>140</TotalTime>
  <ScaleCrop>false</ScaleCrop>
  <LinksUpToDate>false</LinksUpToDate>
  <CharactersWithSpaces>7667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2026-01-14T11:58:00Z</dcterms:created>
  <dc:creator>olivi</dc:creator>
  <cp:lastModifiedBy>【祈祷】</cp:lastModifiedBy>
  <cp:lastPrinted>2025-11-26T04:54:00Z</cp:lastPrinted>
  <dcterms:modified xsi:type="dcterms:W3CDTF">2026-09-13T09:35:11Z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4768037C1E5B455D84FE77A139E8236B</vt:lpwstr>
  </property>
</Properties>
</file>