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0F09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497618AE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71661D5B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29C768E1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：2026年8月6日</w:t>
      </w:r>
    </w:p>
    <w:p w14:paraId="00D5E934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0792DF1B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印尼投资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人力资源服务方案</w:t>
      </w:r>
    </w:p>
    <w:p w14:paraId="38644CC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0D18572B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0BE343C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7C9F29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2EDC8BD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1DD432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2FE2BA3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05370AC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(印尼盾)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6B46D4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6D59217F">
        <w:trPr>
          <w:trHeight w:val="430" w:hRule="atLeast"/>
        </w:trPr>
        <w:tc>
          <w:tcPr>
            <w:tcW w:w="555" w:type="dxa"/>
            <w:vAlign w:val="top"/>
          </w:tcPr>
          <w:p w14:paraId="5FBF91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342F6E8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起草或审核公司人事规章制度服务×2</w:t>
            </w:r>
          </w:p>
        </w:tc>
        <w:tc>
          <w:tcPr>
            <w:tcW w:w="1050" w:type="dxa"/>
            <w:vAlign w:val="top"/>
          </w:tcPr>
          <w:p w14:paraId="463C246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 个工作日</w:t>
            </w:r>
          </w:p>
        </w:tc>
        <w:tc>
          <w:tcPr>
            <w:tcW w:w="2000" w:type="dxa"/>
            <w:vAlign w:val="top"/>
          </w:tcPr>
          <w:p w14:paraId="41DACA5A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50,000,000</w:t>
            </w:r>
          </w:p>
        </w:tc>
        <w:tc>
          <w:tcPr>
            <w:tcW w:w="3671" w:type="dxa"/>
            <w:vAlign w:val="top"/>
          </w:tcPr>
          <w:p w14:paraId="334CE8F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5E152FBE">
        <w:trPr>
          <w:trHeight w:val="430" w:hRule="atLeast"/>
        </w:trPr>
        <w:tc>
          <w:tcPr>
            <w:tcW w:w="555" w:type="dxa"/>
            <w:vAlign w:val="top"/>
          </w:tcPr>
          <w:p w14:paraId="120B549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560F846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1050" w:type="dxa"/>
            <w:vAlign w:val="top"/>
          </w:tcPr>
          <w:p w14:paraId="1F0B605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6 个工作日</w:t>
            </w:r>
          </w:p>
        </w:tc>
        <w:tc>
          <w:tcPr>
            <w:tcW w:w="2000" w:type="dxa"/>
            <w:vAlign w:val="top"/>
          </w:tcPr>
          <w:p w14:paraId="0876B77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3,000,000</w:t>
            </w:r>
          </w:p>
        </w:tc>
        <w:tc>
          <w:tcPr>
            <w:tcW w:w="3671" w:type="dxa"/>
            <w:vAlign w:val="top"/>
          </w:tcPr>
          <w:p w14:paraId="158452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0BD68113">
        <w:trPr>
          <w:trHeight w:val="430" w:hRule="atLeast"/>
        </w:trPr>
        <w:tc>
          <w:tcPr>
            <w:tcW w:w="555" w:type="dxa"/>
            <w:vAlign w:val="top"/>
          </w:tcPr>
          <w:p w14:paraId="139DEA1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588A994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1050" w:type="dxa"/>
            <w:vAlign w:val="top"/>
          </w:tcPr>
          <w:p w14:paraId="694199B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 个工作日</w:t>
            </w:r>
          </w:p>
        </w:tc>
        <w:tc>
          <w:tcPr>
            <w:tcW w:w="2000" w:type="dxa"/>
            <w:vAlign w:val="top"/>
          </w:tcPr>
          <w:p w14:paraId="06EA7C32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12,000,000</w:t>
            </w:r>
          </w:p>
        </w:tc>
        <w:tc>
          <w:tcPr>
            <w:tcW w:w="3671" w:type="dxa"/>
            <w:vAlign w:val="top"/>
          </w:tcPr>
          <w:p w14:paraId="6D6257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</w:p>
        </w:tc>
      </w:tr>
      <w:tr w14:paraId="2C724ACE">
        <w:trPr>
          <w:trHeight w:val="430" w:hRule="atLeast"/>
        </w:trPr>
        <w:tc>
          <w:tcPr>
            <w:tcW w:w="555" w:type="dxa"/>
            <w:vAlign w:val="top"/>
          </w:tcPr>
          <w:p w14:paraId="3AF7CA79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1A468A03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1050" w:type="dxa"/>
            <w:vAlign w:val="top"/>
          </w:tcPr>
          <w:p w14:paraId="700403DC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3BCA1C8B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65,000,000</w:t>
            </w:r>
          </w:p>
        </w:tc>
        <w:tc>
          <w:tcPr>
            <w:tcW w:w="3671" w:type="dxa"/>
            <w:vAlign w:val="top"/>
          </w:tcPr>
          <w:p w14:paraId="66D00142">
            <w:pPr>
              <w:spacing w:after="0" w:line="280" w:lineRule="auto"/>
            </w:pPr>
          </w:p>
        </w:tc>
      </w:tr>
      <w:tr w14:paraId="183565B0">
        <w:trPr>
          <w:trHeight w:val="430" w:hRule="atLeast"/>
        </w:trPr>
        <w:tc>
          <w:tcPr>
            <w:tcW w:w="555" w:type="dxa"/>
            <w:vAlign w:val="top"/>
          </w:tcPr>
          <w:p w14:paraId="59D55164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580E1834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11%</w:t>
            </w:r>
          </w:p>
        </w:tc>
        <w:tc>
          <w:tcPr>
            <w:tcW w:w="1050" w:type="dxa"/>
            <w:vAlign w:val="top"/>
          </w:tcPr>
          <w:p w14:paraId="46D9DFE9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43970657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7,150,000</w:t>
            </w:r>
          </w:p>
        </w:tc>
        <w:tc>
          <w:tcPr>
            <w:tcW w:w="3671" w:type="dxa"/>
            <w:vAlign w:val="top"/>
          </w:tcPr>
          <w:p w14:paraId="121A4012">
            <w:pPr>
              <w:spacing w:after="0" w:line="280" w:lineRule="auto"/>
            </w:pPr>
          </w:p>
        </w:tc>
      </w:tr>
      <w:tr w14:paraId="185EB04A">
        <w:trPr>
          <w:trHeight w:val="430" w:hRule="atLeast"/>
        </w:trPr>
        <w:tc>
          <w:tcPr>
            <w:tcW w:w="555" w:type="dxa"/>
            <w:vAlign w:val="top"/>
          </w:tcPr>
          <w:p w14:paraId="18A43109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75D2E6EE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1050" w:type="dxa"/>
            <w:vAlign w:val="top"/>
          </w:tcPr>
          <w:p w14:paraId="0ACC11E9">
            <w:pPr>
              <w:spacing w:after="0" w:line="280" w:lineRule="auto"/>
            </w:pPr>
          </w:p>
        </w:tc>
        <w:tc>
          <w:tcPr>
            <w:tcW w:w="2000" w:type="dxa"/>
            <w:shd w:val="clear" w:color="auto" w:fill="F2F2F2"/>
            <w:vAlign w:val="center"/>
          </w:tcPr>
          <w:p w14:paraId="2AEB7E40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72,150,000</w:t>
            </w:r>
          </w:p>
        </w:tc>
        <w:tc>
          <w:tcPr>
            <w:tcW w:w="3671" w:type="dxa"/>
            <w:vAlign w:val="top"/>
          </w:tcPr>
          <w:p w14:paraId="5BA74549">
            <w:pPr>
              <w:spacing w:after="0" w:line="280" w:lineRule="auto"/>
            </w:pPr>
          </w:p>
        </w:tc>
      </w:tr>
    </w:tbl>
    <w:p w14:paraId="3F5AE16F">
      <w:pPr>
        <w:spacing w:after="0" w:line="280" w:lineRule="auto"/>
      </w:pPr>
    </w:p>
    <w:p w14:paraId="5A455FF1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56ABF915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以上服务报价不包括：资料快递费（国际）、交通费/差旅费、文件翻译费（如需）。</w:t>
      </w:r>
    </w:p>
    <w:p w14:paraId="4BBCB17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起草或审核公司人事规章制度服务</w:t>
      </w:r>
    </w:p>
    <w:p w14:paraId="4F838B0F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1EBBEC9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7DFE294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3A5FDC1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23E8228D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增加语种翻译费</w:t>
      </w:r>
    </w:p>
    <w:p w14:paraId="5EC2C1E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超过修改次数，每 1 次修改额外收费 Rp3,000,000/次</w:t>
      </w:r>
    </w:p>
    <w:p w14:paraId="73E737D2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更新和申报劳工部系统</w:t>
      </w:r>
    </w:p>
    <w:p w14:paraId="48B70B2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71AEB0DF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42F181A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747177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官费（看情况）</w:t>
      </w:r>
    </w:p>
    <w:p w14:paraId="124EC49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起草或审核劳动合同服务</w:t>
      </w:r>
    </w:p>
    <w:p w14:paraId="58C4EDD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4F61F04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6F000FB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7036644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12815D8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公证费（如需）</w:t>
      </w:r>
    </w:p>
    <w:p w14:paraId="6A82649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商务谈判陪同费</w:t>
      </w:r>
    </w:p>
    <w:p w14:paraId="0A28663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文件翻译费（如需）</w:t>
      </w:r>
    </w:p>
    <w:p w14:paraId="67922AB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文件打印费</w:t>
      </w:r>
    </w:p>
    <w:p w14:paraId="54B4494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签约陪同费</w:t>
      </w:r>
    </w:p>
    <w:p w14:paraId="2EE9A252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Jabodetabek 大雅加达区外的差旅费（住宿费、交通费、顾问补贴）</w:t>
      </w:r>
    </w:p>
    <w:p w14:paraId="0E4CB00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对于大雅加达区外的地址，定价之前需要了解标的公司的地址</w:t>
      </w:r>
    </w:p>
    <w:p w14:paraId="7A77B0A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如果服务执行中，甲方（客户）需要乙方（律所）陪同客户出差/考察，则另收额外的差旅费</w:t>
      </w:r>
    </w:p>
    <w:p w14:paraId="2B1B81E7">
      <w:pPr>
        <w:spacing w:before="100" w:after="0" w:line="280" w:lineRule="auto"/>
      </w:pPr>
    </w:p>
    <w:p w14:paraId="5949837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73CEE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在发票开具后 5 个工作日内支付。</w:t>
      </w:r>
    </w:p>
    <w:p w14:paraId="425AE1AB">
      <w:pPr>
        <w:spacing w:after="0" w:line="280" w:lineRule="auto"/>
      </w:pPr>
    </w:p>
    <w:p w14:paraId="7C2BB087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13D832EB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62611985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24BDA80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46198B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172C2F3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255B087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440B824E">
        <w:trPr>
          <w:trHeight w:val="430" w:hRule="atLeast"/>
        </w:trPr>
        <w:tc>
          <w:tcPr>
            <w:tcW w:w="555" w:type="dxa"/>
            <w:vAlign w:val="top"/>
          </w:tcPr>
          <w:p w14:paraId="769CC8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21D73E1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3635" w:type="dxa"/>
            <w:vAlign w:val="top"/>
          </w:tcPr>
          <w:p w14:paraId="327E2D9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第五步：进行修改（3 个工作日）</w:t>
            </w:r>
          </w:p>
          <w:p w14:paraId="6F1C84F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3500" w:type="dxa"/>
            <w:vAlign w:val="top"/>
          </w:tcPr>
          <w:p w14:paraId="6AEB8FF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</w:t>
            </w:r>
          </w:p>
          <w:p w14:paraId="51C7C40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公司人事规章制度备案审批批文</w:t>
            </w:r>
          </w:p>
        </w:tc>
      </w:tr>
      <w:tr w14:paraId="171573BE">
        <w:trPr>
          <w:trHeight w:val="430" w:hRule="atLeast"/>
        </w:trPr>
        <w:tc>
          <w:tcPr>
            <w:tcW w:w="555" w:type="dxa"/>
            <w:vAlign w:val="top"/>
          </w:tcPr>
          <w:p w14:paraId="1D39DB0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097E2B3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3635" w:type="dxa"/>
            <w:vAlign w:val="top"/>
          </w:tcPr>
          <w:p w14:paraId="3EB49A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第二步：在劳工部系统上更新员工的信息（5 个工作日）</w:t>
            </w:r>
          </w:p>
          <w:p w14:paraId="165ACE4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第三步：在劳工部系统上进行申报（1 个工作日）</w:t>
            </w:r>
          </w:p>
        </w:tc>
        <w:tc>
          <w:tcPr>
            <w:tcW w:w="3500" w:type="dxa"/>
            <w:vAlign w:val="top"/>
          </w:tcPr>
          <w:p w14:paraId="431787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劳工部登记申报凭证</w:t>
            </w:r>
          </w:p>
        </w:tc>
      </w:tr>
      <w:tr w14:paraId="58D2D3E9">
        <w:trPr>
          <w:trHeight w:val="430" w:hRule="atLeast"/>
        </w:trPr>
        <w:tc>
          <w:tcPr>
            <w:tcW w:w="555" w:type="dxa"/>
            <w:vAlign w:val="top"/>
          </w:tcPr>
          <w:p w14:paraId="73DA959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39E8972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3635" w:type="dxa"/>
            <w:vAlign w:val="top"/>
          </w:tcPr>
          <w:p w14:paraId="1F9812A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第六步：进行修改</w:t>
            </w:r>
          </w:p>
          <w:p w14:paraId="02C8DBD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第七步：交付合同</w:t>
            </w:r>
          </w:p>
        </w:tc>
        <w:tc>
          <w:tcPr>
            <w:tcW w:w="3500" w:type="dxa"/>
            <w:vAlign w:val="top"/>
          </w:tcPr>
          <w:p w14:paraId="7B9F6E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合同草稿</w:t>
            </w:r>
          </w:p>
        </w:tc>
      </w:tr>
    </w:tbl>
    <w:p w14:paraId="5B438EAC">
      <w:pPr>
        <w:spacing w:after="0" w:line="280" w:lineRule="auto"/>
      </w:pPr>
    </w:p>
    <w:p w14:paraId="2BD09B2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5E17DDC2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4B5B75C3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4BB646A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1D5D504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4A440B0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0C0FA031">
        <w:trPr>
          <w:trHeight w:val="430" w:hRule="atLeast"/>
        </w:trPr>
        <w:tc>
          <w:tcPr>
            <w:tcW w:w="555" w:type="dxa"/>
            <w:vAlign w:val="top"/>
          </w:tcPr>
          <w:p w14:paraId="53EC808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7CF34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6835" w:type="dxa"/>
            <w:vAlign w:val="top"/>
          </w:tcPr>
          <w:p w14:paraId="442660E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16. 薪资结构声明函（律所提供）</w:t>
            </w:r>
          </w:p>
          <w:p w14:paraId="0D112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17. 分公司或业务经营区域声明函（律所提供）</w:t>
            </w:r>
          </w:p>
          <w:p w14:paraId="61DBE5E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18. 公司未设立工会声明函（律所提供）</w:t>
            </w:r>
          </w:p>
        </w:tc>
      </w:tr>
      <w:tr w14:paraId="2D79271C">
        <w:trPr>
          <w:trHeight w:val="430" w:hRule="atLeast"/>
        </w:trPr>
        <w:tc>
          <w:tcPr>
            <w:tcW w:w="555" w:type="dxa"/>
            <w:vAlign w:val="top"/>
          </w:tcPr>
          <w:p w14:paraId="658D90D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4F4A8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6835" w:type="dxa"/>
            <w:vAlign w:val="top"/>
          </w:tcPr>
          <w:p w14:paraId="740567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员工的最低工资和最高工资</w:t>
            </w:r>
          </w:p>
          <w:p w14:paraId="5508E4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NPP 公司社保号码</w:t>
            </w:r>
          </w:p>
          <w:p w14:paraId="293E5B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5BCE9F24">
        <w:trPr>
          <w:trHeight w:val="430" w:hRule="atLeast"/>
        </w:trPr>
        <w:tc>
          <w:tcPr>
            <w:tcW w:w="555" w:type="dxa"/>
            <w:vAlign w:val="top"/>
          </w:tcPr>
          <w:p w14:paraId="42D4D8A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0613960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6835" w:type="dxa"/>
            <w:vAlign w:val="top"/>
          </w:tcPr>
          <w:p w14:paraId="2062644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录用通知书（如有）</w:t>
            </w:r>
          </w:p>
          <w:p w14:paraId="76E3555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需要审核的合同（如有）</w:t>
            </w:r>
          </w:p>
          <w:p w14:paraId="5F28DAC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雇主的公司商业登记证（如有）</w:t>
            </w:r>
          </w:p>
        </w:tc>
      </w:tr>
    </w:tbl>
    <w:p w14:paraId="7556D30A">
      <w:pPr>
        <w:spacing w:before="80"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以上资料以实际办理时所需为准。</w:t>
      </w:r>
    </w:p>
    <w:p w14:paraId="2A536E8E">
      <w:pPr>
        <w:spacing w:before="120" w:after="0" w:line="280" w:lineRule="auto"/>
      </w:pPr>
    </w:p>
    <w:p w14:paraId="0594A02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所有款项汇到指定的银行账户，银行账户信息如下：</w:t>
      </w:r>
    </w:p>
    <w:p w14:paraId="28A7A85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银行名称 Nama Bank：BCA (BANK CENTRAL ASIA)</w:t>
      </w:r>
    </w:p>
    <w:p w14:paraId="57A43413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银行账号 No. Rek：6802 044 409</w:t>
      </w:r>
    </w:p>
    <w:p w14:paraId="32929BFD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国际银行代码 Swift Code：CENAIDJAXXX</w:t>
      </w:r>
    </w:p>
    <w:p w14:paraId="3FC2BEA4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账号名称 Atas Nama：PT DEIN TALENT SOLUTIONS</w:t>
      </w:r>
    </w:p>
    <w:p w14:paraId="522BC6AF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分行名称 Nama Cabang：BCA KCU BINTARO</w:t>
      </w:r>
    </w:p>
    <w:p w14:paraId="73C6CEB5">
      <w:pPr>
        <w:spacing w:before="40" w:after="0" w:line="280" w:lineRule="auto"/>
      </w:pPr>
    </w:p>
    <w:p w14:paraId="44F582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本公司</w:t>
      </w:r>
      <w:bookmarkStart w:id="0" w:name="_GoBack"/>
      <w:bookmarkEnd w:id="0"/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应对客户提供的纸质或电子版的证件、资料负有妥善保管和保密义务，不得将上述秘密泄露给任何第三方或用于其他用途。</w:t>
      </w:r>
    </w:p>
    <w:p w14:paraId="4B6FDA7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01D4B40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</w:pPr>
          </w:p>
        </w:tc>
      </w:tr>
    </w:tbl>
    <w:p w14:paraId="3817CB5C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23495</wp:posOffset>
          </wp:positionH>
          <wp:positionV relativeFrom="paragraph">
            <wp:posOffset>65405</wp:posOffset>
          </wp:positionV>
          <wp:extent cx="1177290" cy="1160780"/>
          <wp:effectExtent l="0" t="0" r="0" b="0"/>
          <wp:wrapNone/>
          <wp:docPr id="3" name="图片 3" descr="bbbfbf875acb8be07246303edde3cb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bbbfbf875acb8be07246303edde3cb2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7290" cy="1160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>PT</w:t>
    </w:r>
    <w:r>
      <w:rPr>
        <w:rFonts w:hint="default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 xml:space="preserve"> DEIN TALENT SOLUTIONS</w:t>
    </w:r>
  </w:p>
  <w:p w14:paraId="36F652DB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OFFICE TOWER 3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CIPUTRA INTERNATIONAL LT.5</w:t>
    </w:r>
  </w:p>
  <w:p w14:paraId="2FF0CB3F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JL. LINGKAR LUAR BARAT BLOK A NO.1JAKARTA BARAT II74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>0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59264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AEB62F2"/>
    <w:rsid w:val="3B42554A"/>
    <w:rsid w:val="3B7B68CC"/>
    <w:rsid w:val="3DD94C85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F1B94F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7BF758F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F23736B"/>
    <w:rsid w:val="70FB4485"/>
    <w:rsid w:val="73073E7D"/>
    <w:rsid w:val="7313696E"/>
    <w:rsid w:val="74047794"/>
    <w:rsid w:val="75391269"/>
    <w:rsid w:val="75D90501"/>
    <w:rsid w:val="75F6721C"/>
    <w:rsid w:val="766E3CB5"/>
    <w:rsid w:val="76EFE9EB"/>
    <w:rsid w:val="77CF815D"/>
    <w:rsid w:val="78EC4051"/>
    <w:rsid w:val="793D4655"/>
    <w:rsid w:val="799A617B"/>
    <w:rsid w:val="7B7140CA"/>
    <w:rsid w:val="7B7F5587"/>
    <w:rsid w:val="7D1E5E3A"/>
    <w:rsid w:val="7E86468E"/>
    <w:rsid w:val="7EFF68D4"/>
    <w:rsid w:val="7FF7552A"/>
    <w:rsid w:val="97DF8C8D"/>
    <w:rsid w:val="9BFE3E85"/>
    <w:rsid w:val="ADB7D48D"/>
    <w:rsid w:val="AFBD0ADE"/>
    <w:rsid w:val="BBFFCF35"/>
    <w:rsid w:val="BFDF36D4"/>
    <w:rsid w:val="BFFB71FD"/>
    <w:rsid w:val="C6F595B5"/>
    <w:rsid w:val="DCBCC1C9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AFCF7C"/>
    <w:rsid w:val="FBE6483A"/>
    <w:rsid w:val="FD3A3C1A"/>
    <w:rsid w:val="FEBF4740"/>
    <w:rsid w:val="FFAF6A72"/>
    <w:rsid w:val="FFEDA40A"/>
    <w:rsid w:val="FFFB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5693</Words>
  <Characters>6585</Characters>
  <Lines>58</Lines>
  <Paragraphs>16</Paragraphs>
  <TotalTime>3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2026-01-13T03:58:00Z</dcterms:created>
  <dc:creator>olivi</dc:creator>
  <cp:lastModifiedBy>【祈祷】</cp:lastModifiedBy>
  <cp:lastPrinted>2025-11-24T20:54:00Z</cp:lastPrinted>
  <dcterms:modified xsi:type="dcterms:W3CDTF">2026-08-07T09:54:58Z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