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90CF4F">
      <w:pPr>
        <w:spacing w:after="0" w:line="240" w:lineRule="auto"/>
        <w:rPr>
          <w:rFonts w:hint="default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公司名称    ：SHT INTERNATIONAL PTE</w:t>
      </w:r>
      <w:r>
        <w:rPr>
          <w:rFonts w:hint="default" w:ascii="仿宋" w:hAnsi="仿宋" w:eastAsia="仿宋" w:cs="仿宋"/>
          <w:sz w:val="24"/>
          <w:lang w:val="en-US" w:eastAsia="zh-CN"/>
        </w:rPr>
        <w:t>.LTD.</w:t>
      </w:r>
    </w:p>
    <w:p w14:paraId="1004FCCF">
      <w:pPr>
        <w:spacing w:after="0" w:line="240" w:lineRule="auto"/>
        <w:rPr>
          <w:rFonts w:hint="default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联系人</w:t>
      </w:r>
      <w:r>
        <w:rPr>
          <w:rFonts w:hint="eastAsia" w:ascii="仿宋" w:hAnsi="仿宋" w:eastAsia="仿宋" w:cs="仿宋"/>
          <w:sz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lang w:val="en-US" w:eastAsia="zh-CN"/>
        </w:rPr>
        <w:t>：Zhang Sansan</w:t>
      </w:r>
    </w:p>
    <w:p w14:paraId="6D6A6996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联系方式    ：13666668888</w:t>
      </w:r>
    </w:p>
    <w:p w14:paraId="3EEF3FC5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</w:rPr>
        <w:t>报价日期</w:t>
      </w:r>
      <w:r>
        <w:rPr>
          <w:rFonts w:hint="eastAsia" w:ascii="仿宋" w:hAnsi="仿宋" w:eastAsia="仿宋" w:cs="仿宋"/>
          <w:sz w:val="24"/>
        </w:rPr>
        <w:tab/>
      </w:r>
      <w:r>
        <w:rPr>
          <w:rFonts w:hint="eastAsia" w:ascii="仿宋" w:hAnsi="仿宋" w:eastAsia="仿宋" w:cs="仿宋"/>
          <w:sz w:val="24"/>
        </w:rPr>
        <w:t>：</w:t>
      </w:r>
      <w:r>
        <w:rPr>
          <w:rFonts w:hint="eastAsia" w:ascii="仿宋" w:hAnsi="仿宋" w:eastAsia="仿宋" w:cs="仿宋"/>
          <w:sz w:val="24"/>
          <w:lang w:val="en-US" w:eastAsia="zh-CN"/>
        </w:rPr>
        <w:t>2026.6.6</w:t>
      </w:r>
    </w:p>
    <w:p w14:paraId="470D7B22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合同号      ：SHMSG/V/2026/S999</w:t>
      </w:r>
    </w:p>
    <w:p w14:paraId="7B6E2BD9">
      <w:pPr>
        <w:pBdr>
          <w:bottom w:val="single" w:color="4472C4" w:themeColor="accent1" w:sz="4" w:space="1"/>
        </w:pBdr>
        <w:spacing w:before="200" w:after="280"/>
        <w:ind w:left="936" w:right="936"/>
        <w:jc w:val="center"/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14:textFill>
            <w14:solidFill>
              <w14:schemeClr w14:val="accent1"/>
            </w14:solidFill>
          </w14:textFill>
        </w:rPr>
      </w:pP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 w:eastAsia="zh-CN"/>
          <w14:textFill>
            <w14:solidFill>
              <w14:schemeClr w14:val="accent1"/>
            </w14:solidFill>
          </w14:textFill>
        </w:rPr>
        <w:t>埃及投资</w:t>
      </w: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  <w:t>配套服务方案</w:t>
      </w:r>
    </w:p>
    <w:p w14:paraId="4C952861">
      <w:pPr>
        <w:pStyle w:val="26"/>
        <w:spacing w:after="0" w:line="240" w:lineRule="auto"/>
        <w:ind w:left="0"/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1.服务内容</w:t>
      </w:r>
    </w:p>
    <w:tbl>
      <w:tblPr>
        <w:tblStyle w:val="11"/>
        <w:tblpPr w:leftFromText="180" w:rightFromText="180" w:vertAnchor="text" w:horzAnchor="page" w:tblpX="1121" w:tblpY="374"/>
        <w:tblOverlap w:val="never"/>
        <w:tblW w:w="100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"/>
        <w:gridCol w:w="2714"/>
        <w:gridCol w:w="765"/>
        <w:gridCol w:w="1873"/>
        <w:gridCol w:w="4251"/>
      </w:tblGrid>
      <w:tr w14:paraId="5C7AC348">
        <w:trPr>
          <w:trHeight w:val="622" w:hRule="atLeast"/>
        </w:trPr>
        <w:tc>
          <w:tcPr>
            <w:tcW w:w="431" w:type="dxa"/>
            <w:shd w:val="clear" w:color="auto" w:fill="BDD6EE" w:themeFill="accent5" w:themeFillTint="66"/>
            <w:vAlign w:val="center"/>
          </w:tcPr>
          <w:p w14:paraId="113AF785">
            <w:pPr>
              <w:spacing w:line="240" w:lineRule="auto"/>
              <w:ind w:left="-288" w:right="-288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序号</w:t>
            </w:r>
          </w:p>
        </w:tc>
        <w:tc>
          <w:tcPr>
            <w:tcW w:w="2714" w:type="dxa"/>
            <w:shd w:val="clear" w:color="auto" w:fill="BDD6EE" w:themeFill="accent5" w:themeFillTint="66"/>
            <w:vAlign w:val="center"/>
          </w:tcPr>
          <w:p w14:paraId="1E365A79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服务内容</w:t>
            </w:r>
          </w:p>
        </w:tc>
        <w:tc>
          <w:tcPr>
            <w:tcW w:w="765" w:type="dxa"/>
            <w:shd w:val="clear" w:color="auto" w:fill="BDD6EE" w:themeFill="accent5" w:themeFillTint="66"/>
            <w:vAlign w:val="center"/>
          </w:tcPr>
          <w:p w14:paraId="08F374A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数量</w:t>
            </w:r>
          </w:p>
        </w:tc>
        <w:tc>
          <w:tcPr>
            <w:tcW w:w="1873" w:type="dxa"/>
            <w:shd w:val="clear" w:color="auto" w:fill="BDD6EE" w:themeFill="accent5" w:themeFillTint="66"/>
            <w:vAlign w:val="center"/>
          </w:tcPr>
          <w:p w14:paraId="7ECEED4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价格</w:t>
            </w:r>
          </w:p>
          <w:p w14:paraId="6371A8FD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(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马币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4251" w:type="dxa"/>
            <w:shd w:val="clear" w:color="auto" w:fill="BDD6EE" w:themeFill="accent5" w:themeFillTint="66"/>
            <w:vAlign w:val="center"/>
          </w:tcPr>
          <w:p w14:paraId="1A6CD6D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  <w:t>备注</w:t>
            </w:r>
          </w:p>
        </w:tc>
      </w:tr>
      <w:tr w14:paraId="5B51BB18">
        <w:trPr>
          <w:trHeight w:val="430" w:hRule="atLeast"/>
        </w:trPr>
        <w:tc>
          <w:tcPr>
            <w:tcW w:w="431" w:type="dxa"/>
            <w:vAlign w:val="center"/>
          </w:tcPr>
          <w:p w14:paraId="11AC512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2714" w:type="dxa"/>
            <w:vAlign w:val="center"/>
          </w:tcPr>
          <w:p w14:paraId="1AB229B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公司年度企业所得税申报</w:t>
            </w:r>
          </w:p>
        </w:tc>
        <w:tc>
          <w:tcPr>
            <w:tcW w:w="765" w:type="dxa"/>
            <w:vAlign w:val="center"/>
          </w:tcPr>
          <w:p w14:paraId="3FF76EE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73" w:type="dxa"/>
            <w:vAlign w:val="center"/>
          </w:tcPr>
          <w:p w14:paraId="126685D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1,190</w:t>
            </w:r>
          </w:p>
        </w:tc>
        <w:tc>
          <w:tcPr>
            <w:tcW w:w="4251" w:type="dxa"/>
            <w:vAlign w:val="center"/>
          </w:tcPr>
          <w:p w14:paraId="022833A4">
            <w:pPr>
              <w:pStyle w:val="34"/>
              <w:tabs>
                <w:tab w:val="left" w:pos="527"/>
              </w:tabs>
              <w:spacing w:before="2" w:line="242" w:lineRule="auto"/>
              <w:ind w:left="0" w:right="94"/>
              <w:jc w:val="both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新加坡公司成立后需按财政年度向 IRAS 报税，每年 11 月 30 日前完成。满足 ECI 豁免条件（年营业额 &lt;500 万新币且无应税利润）的公司只需一次申报；不满足的需在财年结束三个月内申报预估税。无需审计的公司出具未经审计财务报表即可，需审计的须先完成审计报告。逾期申报可能被罚款，最高可达一万元新币。</w:t>
            </w:r>
          </w:p>
        </w:tc>
      </w:tr>
      <w:tr w14:paraId="1DA5E49B">
        <w:trPr>
          <w:trHeight w:val="430" w:hRule="atLeast"/>
        </w:trPr>
        <w:tc>
          <w:tcPr>
            <w:tcW w:w="431" w:type="dxa"/>
            <w:vAlign w:val="center"/>
          </w:tcPr>
          <w:p w14:paraId="3BD9ACC7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2714" w:type="dxa"/>
            <w:vAlign w:val="center"/>
          </w:tcPr>
          <w:p w14:paraId="28C6200B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公司注册</w:t>
            </w:r>
          </w:p>
        </w:tc>
        <w:tc>
          <w:tcPr>
            <w:tcW w:w="765" w:type="dxa"/>
            <w:vAlign w:val="center"/>
          </w:tcPr>
          <w:p w14:paraId="53C7FFF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73" w:type="dxa"/>
            <w:vAlign w:val="center"/>
          </w:tcPr>
          <w:p w14:paraId="3AB47D61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2,400</w:t>
            </w:r>
          </w:p>
        </w:tc>
        <w:tc>
          <w:tcPr>
            <w:tcW w:w="4251" w:type="dxa"/>
            <w:vAlign w:val="center"/>
          </w:tcPr>
          <w:p w14:paraId="393ABE5E">
            <w:pPr>
              <w:pStyle w:val="34"/>
              <w:tabs>
                <w:tab w:val="left" w:pos="527"/>
              </w:tabs>
              <w:spacing w:before="2" w:line="242" w:lineRule="auto"/>
              <w:ind w:left="0" w:right="94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新加坡私人有限公司要求至少 1 名股东（最多 20 名）、至少 2 名董事（含 1 名新加坡常驻居民）及 1 名法定秘书（新加坡常驻居民）。注册资本最低 1 新币，不验资。公司须指定一名数据保护官（DPO），无国籍限制。办理流程：名称查重 → 背景调查 → 起草法定文件 → 客户签署 → ACRA 提交 → 政府审核 → 颁发文件。</w:t>
            </w:r>
          </w:p>
        </w:tc>
      </w:tr>
      <w:tr w14:paraId="5B1DDF8C">
        <w:trPr>
          <w:trHeight w:val="430" w:hRule="atLeast"/>
        </w:trPr>
        <w:tc>
          <w:tcPr>
            <w:tcW w:w="431" w:type="dxa"/>
            <w:vAlign w:val="center"/>
          </w:tcPr>
          <w:p w14:paraId="6F6EBA9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2714" w:type="dxa"/>
            <w:vAlign w:val="center"/>
          </w:tcPr>
          <w:p w14:paraId="05F95DC5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SFA食品进口商许可证</w:t>
            </w:r>
          </w:p>
        </w:tc>
        <w:tc>
          <w:tcPr>
            <w:tcW w:w="765" w:type="dxa"/>
            <w:vAlign w:val="center"/>
          </w:tcPr>
          <w:p w14:paraId="4A8F0E7B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873" w:type="dxa"/>
            <w:vAlign w:val="center"/>
          </w:tcPr>
          <w:p w14:paraId="6D2B5C33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2,800</w:t>
            </w:r>
          </w:p>
        </w:tc>
        <w:tc>
          <w:tcPr>
            <w:tcW w:w="4251" w:type="dxa"/>
            <w:vAlign w:val="center"/>
          </w:tcPr>
          <w:p w14:paraId="337CF05D">
            <w:pPr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根据 SFA 及《食品销售法》，拟在新加坡进口食品的企业须取得合法进口资质，每批货物抵境前须完成通关准证申请。SFA 将进口资质分为注册号（Registration）与许可证（Licence）两类。高风险食品（肉类、海鲜、蛋类、生鲜果蔬等）须申请 Licence 且海外工厂须在 SFA 白名单。许可证有效期 1 年，由银行 GIRO 自动划扣年费，资质绑定公司UEN 不可转让。</w:t>
            </w:r>
          </w:p>
        </w:tc>
      </w:tr>
      <w:tr w14:paraId="2E0B6C37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34E29F2A">
            <w:pPr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小计</w:t>
            </w:r>
          </w:p>
        </w:tc>
        <w:tc>
          <w:tcPr>
            <w:tcW w:w="6124" w:type="dxa"/>
            <w:gridSpan w:val="2"/>
            <w:vAlign w:val="center"/>
          </w:tcPr>
          <w:p w14:paraId="3E286084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6,390</w:t>
            </w:r>
          </w:p>
        </w:tc>
      </w:tr>
      <w:tr w14:paraId="6F26F530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3DF6899C">
            <w:pPr>
              <w:spacing w:line="240" w:lineRule="auto"/>
              <w:jc w:val="right"/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优惠金额</w:t>
            </w:r>
          </w:p>
        </w:tc>
        <w:tc>
          <w:tcPr>
            <w:tcW w:w="6124" w:type="dxa"/>
            <w:gridSpan w:val="2"/>
            <w:vAlign w:val="center"/>
          </w:tcPr>
          <w:p w14:paraId="42C41DE9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390</w:t>
            </w:r>
          </w:p>
        </w:tc>
      </w:tr>
      <w:tr w14:paraId="0ADFA829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07433FAB">
            <w:pPr>
              <w:wordWrap w:val="0"/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销售与服务</w:t>
            </w:r>
            <w:bookmarkStart w:id="0" w:name="_GoBack"/>
            <w:bookmarkEnd w:id="0"/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 xml:space="preserve">税 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8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%</w:t>
            </w:r>
          </w:p>
        </w:tc>
        <w:tc>
          <w:tcPr>
            <w:tcW w:w="6124" w:type="dxa"/>
            <w:gridSpan w:val="2"/>
            <w:vAlign w:val="center"/>
          </w:tcPr>
          <w:p w14:paraId="0244222C">
            <w:pPr>
              <w:spacing w:line="240" w:lineRule="auto"/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480</w:t>
            </w:r>
          </w:p>
        </w:tc>
      </w:tr>
      <w:tr w14:paraId="15824291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4142ECE3">
            <w:pPr>
              <w:spacing w:line="240" w:lineRule="auto"/>
              <w:jc w:val="right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含税总计</w:t>
            </w:r>
          </w:p>
        </w:tc>
        <w:tc>
          <w:tcPr>
            <w:tcW w:w="6124" w:type="dxa"/>
            <w:gridSpan w:val="2"/>
            <w:vAlign w:val="center"/>
          </w:tcPr>
          <w:p w14:paraId="283F0A7E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6,480</w:t>
            </w:r>
          </w:p>
        </w:tc>
      </w:tr>
    </w:tbl>
    <w:p w14:paraId="100083ED">
      <w:pPr>
        <w:pStyle w:val="4"/>
        <w:spacing w:before="78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b/>
          <w:bCs/>
          <w:color w:val="FF0000"/>
          <w:lang w:val="en-US" w:eastAsia="zh-CN"/>
        </w:rPr>
        <w:t>*备注：</w:t>
      </w:r>
    </w:p>
    <w:p w14:paraId="2C842783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以上服务报价不包括：</w:t>
      </w:r>
    </w:p>
    <w:p w14:paraId="64ECA17B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-中</w:t>
      </w: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新</w:t>
      </w:r>
      <w:r>
        <w:rPr>
          <w:rFonts w:hint="eastAsia" w:ascii="仿宋" w:hAnsi="仿宋" w:eastAsia="仿宋" w:cs="仿宋"/>
          <w:sz w:val="22"/>
          <w:szCs w:val="22"/>
          <w:lang w:val="zh-CN"/>
        </w:rPr>
        <w:t>文件翻译费用（如需）：129 元/页 （普通翻译）或 195元/页 (宣誓翻译)；</w:t>
      </w:r>
    </w:p>
    <w:p w14:paraId="64FBE42B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-国际快递费用；</w:t>
      </w:r>
    </w:p>
    <w:p w14:paraId="50F8AD41">
      <w:pPr>
        <w:spacing w:after="0" w:line="240" w:lineRule="auto"/>
        <w:contextualSpacing/>
        <w:rPr>
          <w:rFonts w:hint="default" w:ascii="仿宋" w:hAnsi="仿宋" w:eastAsia="仿宋" w:cs="仿宋"/>
          <w:sz w:val="22"/>
          <w:szCs w:val="22"/>
          <w:lang w:val="en-US" w:eastAsia="zh-CN"/>
        </w:rPr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- 官费</w:t>
      </w:r>
    </w:p>
    <w:p w14:paraId="52396BB6">
      <w:pPr>
        <w:spacing w:after="0" w:line="240" w:lineRule="auto"/>
        <w:contextualSpacing/>
        <w:rPr>
          <w:rFonts w:ascii="FangSong" w:hAnsi="FangSong" w:eastAsia="FangSong" w:cs="FangSong"/>
          <w:sz w:val="24"/>
          <w:szCs w:val="24"/>
          <w:lang w:val="en-US"/>
        </w:rPr>
      </w:pPr>
    </w:p>
    <w:p w14:paraId="0E44B949">
      <w:pPr>
        <w:shd w:val="clear" w:color="auto" w:fill="FFFFFF"/>
        <w:spacing w:after="0" w:line="240" w:lineRule="auto"/>
        <w:rPr>
          <w:rFonts w:ascii="FangSong" w:hAnsi="FangSong" w:eastAsia="FangSong"/>
          <w:spacing w:val="-1"/>
          <w:sz w:val="28"/>
          <w:szCs w:val="28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2.付款条件：</w:t>
      </w:r>
    </w:p>
    <w:p w14:paraId="799E55F4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1.同意报价确认合同后，甲方支付合同金额70%作为首付款。</w:t>
      </w:r>
    </w:p>
    <w:p w14:paraId="7BFF7862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2.乙方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 w:eastAsia="zh-CN"/>
        </w:rPr>
        <w:t>完成所有服务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后，甲方支付合同金额30%作为尾款。</w:t>
      </w:r>
    </w:p>
    <w:p w14:paraId="46199DF0">
      <w:pPr>
        <w:spacing w:after="0" w:line="240" w:lineRule="auto"/>
        <w:rPr>
          <w:rFonts w:hint="eastAsia" w:ascii="FangSong" w:hAnsi="FangSong" w:eastAsia="FangSong" w:cs="Times New Roman"/>
          <w:color w:val="000000"/>
          <w:sz w:val="24"/>
          <w:szCs w:val="24"/>
          <w:lang w:val="en-US"/>
        </w:rPr>
      </w:pPr>
    </w:p>
    <w:p w14:paraId="502B4FD9">
      <w:pPr>
        <w:pStyle w:val="26"/>
        <w:spacing w:after="0" w:line="240" w:lineRule="auto"/>
        <w:ind w:left="0"/>
        <w:jc w:val="left"/>
        <w:rPr>
          <w:rFonts w:hint="eastAsia" w:ascii="仿宋" w:hAnsi="仿宋" w:eastAsia="仿宋" w:cs="仿宋"/>
          <w:color w:val="000000"/>
          <w:sz w:val="28"/>
          <w:szCs w:val="28"/>
          <w:lang w:val="en-US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3.服务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流程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时间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及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交付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  <w:lang w:val="en-US" w:eastAsia="zh-CN"/>
        </w:rPr>
        <w:t>文件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清单</w:t>
      </w:r>
    </w:p>
    <w:tbl>
      <w:tblPr>
        <w:tblStyle w:val="11"/>
        <w:tblpPr w:leftFromText="180" w:rightFromText="180" w:vertAnchor="text" w:horzAnchor="page" w:tblpX="1145" w:tblpY="376"/>
        <w:tblOverlap w:val="never"/>
        <w:tblW w:w="527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6"/>
        <w:gridCol w:w="2181"/>
        <w:gridCol w:w="1039"/>
        <w:gridCol w:w="3581"/>
        <w:gridCol w:w="2670"/>
      </w:tblGrid>
      <w:tr w14:paraId="7C7B0878">
        <w:trPr>
          <w:trHeight w:val="381" w:hRule="atLeast"/>
        </w:trPr>
        <w:tc>
          <w:tcPr>
            <w:tcW w:w="296" w:type="pct"/>
            <w:vAlign w:val="center"/>
          </w:tcPr>
          <w:p w14:paraId="16B0ADBA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序号</w:t>
            </w:r>
          </w:p>
        </w:tc>
        <w:tc>
          <w:tcPr>
            <w:tcW w:w="1083" w:type="pct"/>
            <w:vAlign w:val="center"/>
          </w:tcPr>
          <w:p w14:paraId="2EC0DEF9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服务内容</w:t>
            </w:r>
          </w:p>
        </w:tc>
        <w:tc>
          <w:tcPr>
            <w:tcW w:w="516" w:type="pct"/>
            <w:vAlign w:val="center"/>
          </w:tcPr>
          <w:p w14:paraId="468C1C51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办理时间</w:t>
            </w:r>
          </w:p>
        </w:tc>
        <w:tc>
          <w:tcPr>
            <w:tcW w:w="1778" w:type="pct"/>
            <w:vAlign w:val="center"/>
          </w:tcPr>
          <w:p w14:paraId="3E570144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流程</w:t>
            </w:r>
          </w:p>
        </w:tc>
        <w:tc>
          <w:tcPr>
            <w:tcW w:w="1326" w:type="pct"/>
            <w:vAlign w:val="center"/>
          </w:tcPr>
          <w:p w14:paraId="3BF7CF7F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  <w:t>服务完成后交付文件</w:t>
            </w:r>
          </w:p>
        </w:tc>
      </w:tr>
      <w:tr w14:paraId="7640713C">
        <w:trPr>
          <w:trHeight w:val="1014" w:hRule="atLeast"/>
        </w:trPr>
        <w:tc>
          <w:tcPr>
            <w:tcW w:w="296" w:type="pct"/>
            <w:vAlign w:val="center"/>
          </w:tcPr>
          <w:p w14:paraId="56D887A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1083" w:type="pct"/>
            <w:vAlign w:val="center"/>
          </w:tcPr>
          <w:p w14:paraId="3BBFFC9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公司年度企业所得税申报</w:t>
            </w:r>
          </w:p>
        </w:tc>
        <w:tc>
          <w:tcPr>
            <w:tcW w:w="516" w:type="pct"/>
            <w:vAlign w:val="center"/>
          </w:tcPr>
          <w:p w14:paraId="5C93060C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15个工作日</w:t>
            </w:r>
          </w:p>
        </w:tc>
        <w:tc>
          <w:tcPr>
            <w:tcW w:w="1778" w:type="pct"/>
          </w:tcPr>
          <w:p w14:paraId="23B21173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第一步：收集资料</w:t>
            </w:r>
          </w:p>
          <w:p w14:paraId="35AC1C7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第二步：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整理报税表格（4 个工作日）</w:t>
            </w:r>
          </w:p>
          <w:p w14:paraId="5DFBA8FA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第三步：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在税务局提交纳税申请（7 个工作日）</w:t>
            </w:r>
          </w:p>
          <w:p w14:paraId="03F56A9E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第四步：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收到企业所得税评估通知（3 个工作日）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br w:type="textWrapping"/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第五步：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缴纳税费（1 个工作日）</w:t>
            </w:r>
          </w:p>
        </w:tc>
        <w:tc>
          <w:tcPr>
            <w:tcW w:w="1326" w:type="pct"/>
          </w:tcPr>
          <w:p w14:paraId="126FAE68">
            <w:pPr>
              <w:pStyle w:val="9"/>
              <w:numPr>
                <w:ilvl w:val="0"/>
                <w:numId w:val="0"/>
              </w:numPr>
              <w:shd w:val="clear" w:color="auto" w:fill="FFFFFF"/>
              <w:spacing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已缴税完成通知书</w:t>
            </w:r>
          </w:p>
        </w:tc>
      </w:tr>
      <w:tr w14:paraId="7E374DB2">
        <w:trPr>
          <w:trHeight w:val="1014" w:hRule="atLeast"/>
        </w:trPr>
        <w:tc>
          <w:tcPr>
            <w:tcW w:w="296" w:type="pct"/>
            <w:vAlign w:val="center"/>
          </w:tcPr>
          <w:p w14:paraId="061EFA2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1083" w:type="pct"/>
            <w:vAlign w:val="center"/>
          </w:tcPr>
          <w:p w14:paraId="0F8F085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公司注册</w:t>
            </w:r>
          </w:p>
        </w:tc>
        <w:tc>
          <w:tcPr>
            <w:tcW w:w="516" w:type="pct"/>
            <w:vAlign w:val="center"/>
          </w:tcPr>
          <w:p w14:paraId="6569C06A">
            <w:pPr>
              <w:pStyle w:val="9"/>
              <w:numPr>
                <w:ilvl w:val="0"/>
                <w:numId w:val="0"/>
              </w:numPr>
              <w:spacing w:beforeAutospacing="1" w:after="0" w:afterAutospacing="1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18个工作日</w:t>
            </w:r>
          </w:p>
        </w:tc>
        <w:tc>
          <w:tcPr>
            <w:tcW w:w="1778" w:type="pct"/>
            <w:vAlign w:val="top"/>
          </w:tcPr>
          <w:p w14:paraId="3E2191B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收集资料</w:t>
            </w:r>
          </w:p>
          <w:p w14:paraId="21ED6EE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第二步：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公司名称查重（1 个工作日）</w:t>
            </w:r>
          </w:p>
          <w:p w14:paraId="3269A62B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第三步：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客户背景调查（5 个工作日）</w:t>
            </w:r>
          </w:p>
          <w:p w14:paraId="45F73DA4">
            <w:pPr>
              <w:spacing w:after="0" w:line="280" w:lineRule="auto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第四步：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起草法定文件（5 个工作日）</w:t>
            </w:r>
          </w:p>
          <w:p w14:paraId="63886BE9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第五步：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客户签署文件</w:t>
            </w:r>
          </w:p>
          <w:p w14:paraId="1AAC6C7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第六步：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在新加坡公司注册局（ACRA）提交申请（1 个工作日）</w:t>
            </w:r>
          </w:p>
          <w:p w14:paraId="306287C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第七步：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政府审核（5 个工作日）</w:t>
            </w:r>
          </w:p>
          <w:p w14:paraId="276B5AC5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第八步：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颁发交付文件（1 个工作日）</w:t>
            </w:r>
          </w:p>
        </w:tc>
        <w:tc>
          <w:tcPr>
            <w:tcW w:w="1326" w:type="pct"/>
          </w:tcPr>
          <w:p w14:paraId="56D1ED12">
            <w:pPr>
              <w:numPr>
                <w:ilvl w:val="0"/>
                <w:numId w:val="1"/>
              </w:numPr>
              <w:spacing w:after="0" w:line="280" w:lineRule="auto"/>
              <w:ind w:left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新加坡公司营业执照</w:t>
            </w:r>
          </w:p>
          <w:p w14:paraId="65A79B39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成立公告</w:t>
            </w:r>
          </w:p>
          <w:p w14:paraId="0F977704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注册纸</w:t>
            </w:r>
          </w:p>
          <w:p w14:paraId="3459E3C2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股份登记文件</w:t>
            </w:r>
          </w:p>
          <w:p w14:paraId="17ED9B2A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挂名董事协议</w:t>
            </w:r>
          </w:p>
          <w:p w14:paraId="365292DF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商业秘书授权文件</w:t>
            </w:r>
          </w:p>
          <w:p w14:paraId="15F467F8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申请股份表</w:t>
            </w:r>
          </w:p>
          <w:p w14:paraId="63AE1D31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第一次董事会议记录</w:t>
            </w:r>
          </w:p>
          <w:p w14:paraId="4F7499EC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董事通知</w:t>
            </w:r>
          </w:p>
          <w:p w14:paraId="14720B26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公司章程</w:t>
            </w:r>
          </w:p>
          <w:p w14:paraId="798BF841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公司印章（翻章、钢印）</w:t>
            </w:r>
          </w:p>
        </w:tc>
      </w:tr>
      <w:tr w14:paraId="2A148A86">
        <w:trPr>
          <w:trHeight w:val="1014" w:hRule="atLeast"/>
        </w:trPr>
        <w:tc>
          <w:tcPr>
            <w:tcW w:w="296" w:type="pct"/>
            <w:vAlign w:val="center"/>
          </w:tcPr>
          <w:p w14:paraId="3EE4706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1083" w:type="pct"/>
            <w:vAlign w:val="center"/>
          </w:tcPr>
          <w:p w14:paraId="502F5D03">
            <w:pPr>
              <w:shd w:val="clear" w:color="auto" w:fill="FFFFFF"/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SFA食品进口商许可证</w:t>
            </w:r>
          </w:p>
        </w:tc>
        <w:tc>
          <w:tcPr>
            <w:tcW w:w="516" w:type="pct"/>
            <w:vAlign w:val="center"/>
          </w:tcPr>
          <w:p w14:paraId="49B48A16">
            <w:pPr>
              <w:tabs>
                <w:tab w:val="left" w:pos="312"/>
              </w:tabs>
              <w:spacing w:after="0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15个工作日</w:t>
            </w:r>
          </w:p>
        </w:tc>
        <w:tc>
          <w:tcPr>
            <w:tcW w:w="1778" w:type="pct"/>
          </w:tcPr>
          <w:p w14:paraId="0D5A46F9">
            <w:pPr>
              <w:numPr>
                <w:ilvl w:val="0"/>
                <w:numId w:val="0"/>
              </w:numPr>
              <w:spacing w:after="0"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</w:t>
            </w: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id-ID"/>
              </w:rPr>
              <w:t>收集资料</w:t>
            </w:r>
          </w:p>
          <w:p w14:paraId="3BA0A3CA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二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明确食品分类与资质类型</w:t>
            </w:r>
          </w:p>
          <w:p w14:paraId="4673C87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三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在线申请并缴纳官费（1 个工作日）</w:t>
            </w:r>
          </w:p>
          <w:p w14:paraId="3F68FDDF">
            <w:pPr>
              <w:numPr>
                <w:ilvl w:val="0"/>
                <w:numId w:val="0"/>
              </w:numPr>
              <w:spacing w:after="0"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四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取得 SFA 进口资质批文（14 个工作日）</w:t>
            </w:r>
          </w:p>
        </w:tc>
        <w:tc>
          <w:tcPr>
            <w:tcW w:w="1326" w:type="pct"/>
          </w:tcPr>
          <w:p w14:paraId="1BA253B9">
            <w:pPr>
              <w:tabs>
                <w:tab w:val="left" w:pos="312"/>
              </w:tabs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新加坡公司食品进口商许可证</w:t>
            </w:r>
          </w:p>
        </w:tc>
      </w:tr>
    </w:tbl>
    <w:p w14:paraId="67AEC52F">
      <w:pPr>
        <w:spacing w:after="0" w:line="240" w:lineRule="auto"/>
        <w:rPr>
          <w:rFonts w:hint="eastAsia" w:ascii="FangSong" w:hAnsi="FangSong" w:eastAsia="FangSong" w:cs="宋体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04FBF400">
      <w:pPr>
        <w:spacing w:after="0" w:line="240" w:lineRule="auto"/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4.所需</w:t>
      </w: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资料及信息</w:t>
      </w: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清单</w:t>
      </w:r>
    </w:p>
    <w:tbl>
      <w:tblPr>
        <w:tblStyle w:val="11"/>
        <w:tblpPr w:leftFromText="180" w:rightFromText="180" w:vertAnchor="text" w:horzAnchor="page" w:tblpX="1145" w:tblpY="422"/>
        <w:tblOverlap w:val="never"/>
        <w:tblW w:w="1010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2219"/>
        <w:gridCol w:w="7229"/>
      </w:tblGrid>
      <w:tr w14:paraId="0CD0FB59">
        <w:tc>
          <w:tcPr>
            <w:tcW w:w="654" w:type="dxa"/>
            <w:vAlign w:val="center"/>
          </w:tcPr>
          <w:p w14:paraId="50CC6137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序号</w:t>
            </w:r>
          </w:p>
        </w:tc>
        <w:tc>
          <w:tcPr>
            <w:tcW w:w="2219" w:type="dxa"/>
            <w:vAlign w:val="center"/>
          </w:tcPr>
          <w:p w14:paraId="4BBA642E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229" w:type="dxa"/>
            <w:vAlign w:val="center"/>
          </w:tcPr>
          <w:p w14:paraId="48A21373">
            <w:pPr>
              <w:snapToGrid w:val="0"/>
              <w:spacing w:after="0" w:line="240" w:lineRule="auto"/>
              <w:ind w:left="-76"/>
              <w:jc w:val="center"/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  <w:t>所需</w:t>
            </w: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资料及信息</w:t>
            </w:r>
          </w:p>
        </w:tc>
      </w:tr>
      <w:tr w14:paraId="776D49AE">
        <w:tc>
          <w:tcPr>
            <w:tcW w:w="654" w:type="dxa"/>
            <w:vAlign w:val="center"/>
          </w:tcPr>
          <w:p w14:paraId="3C58F247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1</w:t>
            </w:r>
          </w:p>
        </w:tc>
        <w:tc>
          <w:tcPr>
            <w:tcW w:w="2219" w:type="dxa"/>
            <w:vAlign w:val="center"/>
          </w:tcPr>
          <w:p w14:paraId="60C04297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/>
              </w:rPr>
            </w:pPr>
          </w:p>
          <w:p w14:paraId="3B53738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公司年度企业所得税申报</w:t>
            </w:r>
          </w:p>
        </w:tc>
        <w:tc>
          <w:tcPr>
            <w:tcW w:w="7229" w:type="dxa"/>
          </w:tcPr>
          <w:p w14:paraId="533603A7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公司基本资料：</w:t>
            </w:r>
          </w:p>
          <w:p w14:paraId="0B93D9AB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公司章程</w:t>
            </w:r>
          </w:p>
          <w:p w14:paraId="4951E6D0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最新注册纸</w:t>
            </w:r>
          </w:p>
          <w:p w14:paraId="639AB764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注册证书</w:t>
            </w:r>
          </w:p>
          <w:p w14:paraId="1A51F67D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周年申报表</w:t>
            </w:r>
          </w:p>
          <w:p w14:paraId="1C5ECF11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财务单据：</w:t>
            </w:r>
          </w:p>
          <w:p w14:paraId="2AFB9AD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财务账目（损益表、资产负债表、明细账、流水账）</w:t>
            </w:r>
          </w:p>
          <w:p w14:paraId="4330D76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公司银行月结单（首年还需开户通知书）</w:t>
            </w:r>
          </w:p>
          <w:p w14:paraId="747A6AF3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收入记录（发票、合同、税票）</w:t>
            </w:r>
          </w:p>
          <w:p w14:paraId="270DB4E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支出记录（工资、租金、运费等）</w:t>
            </w:r>
          </w:p>
          <w:p w14:paraId="14B61ED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(5) 资产清单</w:t>
            </w:r>
          </w:p>
          <w:p w14:paraId="0B848EF7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(6) 年度最终版财务报表、财务报告、审计报告（如有）</w:t>
            </w:r>
          </w:p>
        </w:tc>
      </w:tr>
      <w:tr w14:paraId="607FDC8C">
        <w:tc>
          <w:tcPr>
            <w:tcW w:w="654" w:type="dxa"/>
            <w:vAlign w:val="center"/>
          </w:tcPr>
          <w:p w14:paraId="05AD2DDF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2</w:t>
            </w:r>
          </w:p>
        </w:tc>
        <w:tc>
          <w:tcPr>
            <w:tcW w:w="2219" w:type="dxa"/>
            <w:vAlign w:val="center"/>
          </w:tcPr>
          <w:p w14:paraId="5FC5767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公司注册</w:t>
            </w:r>
          </w:p>
        </w:tc>
        <w:tc>
          <w:tcPr>
            <w:tcW w:w="7229" w:type="dxa"/>
          </w:tcPr>
          <w:p w14:paraId="176C380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新加坡公司注册信息收集表</w:t>
            </w:r>
          </w:p>
          <w:p w14:paraId="5562759D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股东为公司时：</w:t>
            </w:r>
          </w:p>
          <w:p w14:paraId="645557C2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中国公司中英文版本营业执照、中文章程</w:t>
            </w:r>
          </w:p>
          <w:p w14:paraId="3B1470B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法人身份证（正反面）、护照首页（需 CTC）</w:t>
            </w:r>
          </w:p>
          <w:p w14:paraId="195B0B06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董事身份证、护照首页（需 CTC）、电邮</w:t>
            </w:r>
          </w:p>
          <w:p w14:paraId="3AA00EB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英文版董事名册（需签字）</w:t>
            </w:r>
          </w:p>
          <w:p w14:paraId="65B5D264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(5) 英文架构图（需签字）</w:t>
            </w:r>
          </w:p>
          <w:p w14:paraId="7F94C81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(6) 最终受益人清晰版证件（身份证、护照需 CTC、电邮）</w:t>
            </w:r>
          </w:p>
          <w:p w14:paraId="49D1034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(7) 最终受益人持股比例须超过 25%</w:t>
            </w:r>
          </w:p>
          <w:p w14:paraId="2DE8E0F0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(8) 所有持股超 25% 关联公司的中英文营业执照、章程、英文董事名册</w:t>
            </w:r>
          </w:p>
          <w:p w14:paraId="44A945B8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3. 股东为个人时：所有股东和董事的身份证、护照首页（需 CTC）、电邮</w:t>
            </w:r>
          </w:p>
          <w:p w14:paraId="7D743668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* 所有证件有效期须大于 6 个月</w:t>
            </w:r>
          </w:p>
        </w:tc>
      </w:tr>
      <w:tr w14:paraId="7B73B9C1">
        <w:tc>
          <w:tcPr>
            <w:tcW w:w="654" w:type="dxa"/>
            <w:vAlign w:val="center"/>
          </w:tcPr>
          <w:p w14:paraId="38E1815B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3</w:t>
            </w:r>
          </w:p>
        </w:tc>
        <w:tc>
          <w:tcPr>
            <w:tcW w:w="2219" w:type="dxa"/>
            <w:vAlign w:val="center"/>
          </w:tcPr>
          <w:p w14:paraId="3E2C5D1F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SFA食品进口商许可证</w:t>
            </w:r>
          </w:p>
        </w:tc>
        <w:tc>
          <w:tcPr>
            <w:tcW w:w="7229" w:type="dxa"/>
          </w:tcPr>
          <w:p w14:paraId="48638B11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公司注册证书/信息摘要（ACRA BizFile）</w:t>
            </w:r>
          </w:p>
          <w:p w14:paraId="599CE23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董事及 CorpPass 授权人员信息（身份证/护照/FIN 卡）</w:t>
            </w:r>
          </w:p>
          <w:p w14:paraId="5C4E8283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3. 海关账户激活证明（Customs Registration Letter）</w:t>
            </w:r>
          </w:p>
          <w:p w14:paraId="7DC2335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4. SFA GIRO 银行自动扣款申请表</w:t>
            </w:r>
          </w:p>
        </w:tc>
      </w:tr>
    </w:tbl>
    <w:p w14:paraId="21D14DDA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</w:p>
    <w:p w14:paraId="6D196257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  <w:t>备注：</w:t>
      </w:r>
    </w:p>
    <w:p w14:paraId="04C4A860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以上办理时间为收集齐所需资料及信息开始的官方办理时间，法定节假日及办证政府机构休息日不算入办理时间。</w:t>
      </w:r>
    </w:p>
    <w:p w14:paraId="4E4052EC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甲方必须提供办理服务所需资料及信息，如因资料及信息不足或提供不及时耽误了办理进度，则所产生的额外费用由甲方承担。</w:t>
      </w:r>
    </w:p>
    <w:p w14:paraId="5A05DCAE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以上服务价格和办理时间按照甲方提供的信息及资料进行评估，如发生变化，则根据最新信息及资料进行价格和时间调整。</w:t>
      </w:r>
    </w:p>
    <w:p w14:paraId="41A2ECF4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未列入本报价单或不属于本报价单服务范围内的服务，将另行报价。</w:t>
      </w:r>
    </w:p>
    <w:p w14:paraId="0E9CD4A2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本报价单中所列“（如需）”服务，须在办理过程中根据甲方实际需求及情况重新评估，最终服务价格、数量及办理时间以评估结果为准。</w:t>
      </w:r>
    </w:p>
    <w:p w14:paraId="7891367C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如果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当地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法规发生变化，乙方有权调整价格及办理时间。</w:t>
      </w:r>
    </w:p>
    <w:p w14:paraId="0B965FCA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所有款项汇到指定的银行账户，银行账户信息如下 :</w:t>
      </w:r>
    </w:p>
    <w:p w14:paraId="770953B7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Account Name: SHANHAIMAP SDN. BHD.</w:t>
      </w:r>
    </w:p>
    <w:p w14:paraId="0EC873E4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Account Number：7011647369</w:t>
      </w:r>
    </w:p>
    <w:p w14:paraId="4A586600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Beneficiary Bank：OCBC Bank (Malaysia) Bhd</w:t>
      </w:r>
    </w:p>
    <w:p w14:paraId="34CA51AF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Branch: KL MAIN</w:t>
      </w:r>
    </w:p>
    <w:p w14:paraId="231BC0EC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Swift code: OCBCMYKL</w:t>
      </w:r>
    </w:p>
    <w:p w14:paraId="111E96F2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ms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Bank Address：INFINITY TOWER,  JALAN SS 6/3,  KELANA JAYA,  47301 PETALING JAYA SELANGOR MALAYSIA</w:t>
      </w:r>
    </w:p>
    <w:p w14:paraId="50E8B80E">
      <w:pPr>
        <w:pStyle w:val="26"/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本公司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对客户提供的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纸质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或电子版的证件、资料负有妥善保管和保密义务，不得将上述秘密泄露给任何第三方或用于其他用途。</w:t>
      </w:r>
    </w:p>
    <w:p w14:paraId="5721D5E9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此报价从报价日起生效30天。</w:t>
      </w:r>
    </w:p>
    <w:p w14:paraId="225697D3">
      <w:pPr>
        <w:numPr>
          <w:ilvl w:val="0"/>
          <w:numId w:val="0"/>
        </w:numPr>
        <w:spacing w:after="0" w:line="240" w:lineRule="auto"/>
        <w:ind w:leftChars="0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p w14:paraId="681598B5">
      <w:pPr>
        <w:spacing w:after="8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p w14:paraId="5ED6E9DD">
      <w:pPr>
        <w:spacing w:after="8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4A21B98C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2E34F2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A9766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同意报价人：</w:t>
            </w:r>
          </w:p>
        </w:tc>
      </w:tr>
      <w:tr w14:paraId="3B7A9EA9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837E08F">
            <w:pPr>
              <w:spacing w:after="0" w:line="280" w:lineRule="auto"/>
              <w:rPr>
                <w:rFonts w:hint="default" w:ascii="仿宋" w:hAnsi="仿宋" w:eastAsia="仿宋" w:cs="仿宋"/>
                <w:sz w:val="22"/>
                <w:szCs w:val="22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/>
                <w:color w:val="212121"/>
                <w:sz w:val="20"/>
                <w:szCs w:val="20"/>
                <w:lang w:val="en-US" w:eastAsia="zh-CN" w:bidi="ar-SA"/>
              </w:rPr>
              <w:t>SHANHAIMAP SDN. BHD.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6CC384F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</w:p>
        </w:tc>
      </w:tr>
    </w:tbl>
    <w:p w14:paraId="493E0D3A">
      <w:pPr>
        <w:spacing w:after="160" w:line="259" w:lineRule="auto"/>
        <w:rPr>
          <w:rFonts w:hint="eastAsia" w:ascii="仿宋" w:hAnsi="仿宋" w:eastAsia="仿宋" w:cs="仿宋"/>
          <w:b/>
          <w:bCs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</w:p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Microsoft JhengHei">
    <w:altName w:val="汉仪中简黑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006716">
    <w:pPr>
      <w:pStyle w:val="4"/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30111E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930111E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F01B37">
    <w:pPr>
      <w:pStyle w:val="47"/>
      <w:keepNext w:val="0"/>
      <w:keepLines w:val="0"/>
      <w:widowControl/>
      <w:suppressLineNumbers w:val="0"/>
      <w:jc w:val="center"/>
      <w:rPr>
        <w:rFonts w:hint="default" w:ascii="微软雅黑" w:hAnsi="微软雅黑" w:eastAsia="微软雅黑" w:cs="Microsoft JhengHei"/>
        <w:b/>
        <w:bCs/>
        <w:color w:val="0039C2"/>
        <w:sz w:val="36"/>
        <w:szCs w:val="36"/>
        <w:shd w:val="clear" w:color="auto" w:fill="FFFFFF"/>
        <w:lang w:val="en-US" w:eastAsia="zh-CN"/>
      </w:rPr>
    </w:pPr>
    <w:r>
      <w:rPr>
        <w:rFonts w:hint="default" w:ascii="Arial" w:hAnsi="Arial" w:eastAsia="微软雅黑" w:cs="Arial"/>
        <w:b w:val="0"/>
        <w:color w:val="0039C2"/>
        <w:sz w:val="44"/>
        <w:szCs w:val="44"/>
        <w:lang w:val="en-US" w:eastAsia="zh-CN"/>
      </w:rPr>
      <w:t>SHANHAIMAP SDN. BHD.</w:t>
    </w:r>
  </w:p>
  <w:p w14:paraId="175031D7">
    <w:pPr>
      <w:spacing w:after="0" w:line="240" w:lineRule="auto"/>
      <w:jc w:val="right"/>
      <w:rPr>
        <w:rFonts w:hint="default" w:ascii="Arial" w:hAnsi="Arial" w:eastAsia="微软雅黑" w:cs="Arial"/>
        <w:b w:val="0"/>
        <w:bCs w:val="0"/>
        <w:sz w:val="18"/>
        <w:szCs w:val="18"/>
        <w:lang w:val="de-DE" w:eastAsia="zh-CN"/>
      </w:rPr>
    </w:pPr>
    <w:r>
      <w:rPr>
        <w:rFonts w:hint="default" w:ascii="Arial" w:hAnsi="Arial" w:eastAsia="微软雅黑" w:cs="Arial"/>
        <w:b w:val="0"/>
        <w:bCs w:val="0"/>
        <w:sz w:val="18"/>
        <w:szCs w:val="18"/>
        <w:lang w:val="de-DE" w:eastAsia="zh-CN"/>
      </w:rPr>
      <w:t xml:space="preserve">Suite 16-03A &amp; 05, Level 16, Wisma UOA </w:t>
    </w:r>
    <w:r>
      <w:rPr>
        <w:rFonts w:hint="eastAsia" w:ascii="Arial" w:hAnsi="Arial" w:eastAsia="微软雅黑" w:cs="Arial"/>
        <w:b w:val="0"/>
        <w:bCs w:val="0"/>
        <w:sz w:val="18"/>
        <w:szCs w:val="18"/>
        <w:lang w:val="en-US" w:eastAsia="zh-CN"/>
      </w:rPr>
      <w:t xml:space="preserve">II </w:t>
    </w:r>
    <w:r>
      <w:rPr>
        <w:rFonts w:hint="default" w:ascii="Arial" w:hAnsi="Arial" w:eastAsia="微软雅黑" w:cs="Arial"/>
        <w:b w:val="0"/>
        <w:bCs w:val="0"/>
        <w:sz w:val="18"/>
        <w:szCs w:val="18"/>
        <w:lang w:val="de-DE" w:eastAsia="zh-CN"/>
      </w:rPr>
      <w:t xml:space="preserve">No. 21, </w:t>
    </w:r>
  </w:p>
  <w:p w14:paraId="5025D66B">
    <w:pPr>
      <w:spacing w:after="0" w:line="240" w:lineRule="auto"/>
      <w:jc w:val="right"/>
      <w:rPr>
        <w:rFonts w:hint="eastAsia" w:ascii="微软雅黑" w:hAnsi="微软雅黑" w:eastAsia="微软雅黑" w:cs="微软雅黑"/>
        <w:b w:val="0"/>
        <w:bCs w:val="0"/>
        <w:lang w:val="de-DE" w:eastAsia="zh-CN"/>
      </w:rPr>
    </w:pPr>
    <w:r>
      <w:rPr>
        <w:rFonts w:hint="default" w:ascii="Arial" w:hAnsi="Arial" w:eastAsia="微软雅黑" w:cs="Arial"/>
        <w:b w:val="0"/>
        <w:bCs w:val="0"/>
        <w:sz w:val="18"/>
        <w:szCs w:val="18"/>
        <w:lang w:val="de-DE" w:eastAsia="zh-CN"/>
      </w:rPr>
      <w:t>Jalan Pinang, 50450 Kuala Lumpur, Malaysia</w:t>
    </w:r>
  </w:p>
  <w:p w14:paraId="4270C061">
    <w:pPr>
      <w:spacing w:after="0" w:line="240" w:lineRule="auto"/>
      <w:jc w:val="center"/>
      <w:rPr>
        <w:rFonts w:ascii="Arial" w:hAnsi="Arial" w:cs="Arial" w:eastAsiaTheme="minorEastAsia"/>
        <w:b/>
        <w:bCs/>
        <w:lang w:val="de-DE" w:eastAsia="zh-CN"/>
      </w:rPr>
    </w:pPr>
    <w:r>
      <w:rPr>
        <w:rFonts w:hint="default" w:ascii="Arial" w:hAnsi="Arial" w:cs="Arial"/>
        <w:b w:val="0"/>
        <w:bCs w:val="0"/>
      </w:rPr>
      <w:fldChar w:fldCharType="begin"/>
    </w:r>
    <w:r>
      <w:rPr>
        <w:rFonts w:hint="default" w:ascii="Arial" w:hAnsi="Arial" w:cs="Arial"/>
        <w:b w:val="0"/>
        <w:bCs w:val="0"/>
      </w:rPr>
      <w:instrText xml:space="preserve"> HYPERLINK "http://www.shanhaimap.com" </w:instrText>
    </w:r>
    <w:r>
      <w:rPr>
        <w:rFonts w:hint="default" w:ascii="Arial" w:hAnsi="Arial" w:cs="Arial"/>
        <w:b w:val="0"/>
        <w:bCs w:val="0"/>
      </w:rPr>
      <w:fldChar w:fldCharType="separate"/>
    </w:r>
    <w:r>
      <w:rPr>
        <w:rFonts w:hint="default" w:ascii="Arial" w:hAnsi="Arial" w:eastAsia="微软雅黑" w:cs="Arial"/>
        <w:b w:val="0"/>
        <w:bCs w:val="0"/>
        <w:lang w:val="de-DE" w:eastAsia="zh-CN"/>
      </w:rPr>
      <w:fldChar w:fldCharType="end"/>
    </w:r>
    <w:r>
      <w:rPr>
        <w:rFonts w:hint="default" w:ascii="Arial" w:hAnsi="Arial" w:eastAsia="微软雅黑" w:cs="Arial"/>
        <w:b w:val="0"/>
        <w:bCs w:val="0"/>
        <w:lang w:val="de-DE" w:eastAsia="zh-CN"/>
      </w:rPr>
      <w:t>Web: www.shanhaimap.com</w:t>
    </w:r>
  </w:p>
  <w:p w14:paraId="0C937CF4">
    <w:pPr>
      <w:pStyle w:val="5"/>
      <w:tabs>
        <w:tab w:val="right" w:pos="10260"/>
      </w:tabs>
      <w:spacing w:line="276" w:lineRule="auto"/>
      <w:ind w:left="1276" w:right="-279"/>
      <w:jc w:val="center"/>
      <w:rPr>
        <w:rFonts w:ascii="Arial" w:hAnsi="Arial" w:cs="Arial" w:eastAsiaTheme="minorEastAsia"/>
        <w:b/>
        <w:bCs/>
        <w:lang w:val="de-DE" w:eastAsia="zh-CN"/>
      </w:rPr>
    </w:pPr>
    <w:r>
      <w:rPr>
        <w:rFonts w:hint="default" w:ascii="Arial" w:hAnsi="Arial" w:cs="Arial" w:eastAsiaTheme="minorEastAsia"/>
        <w:b w:val="0"/>
        <w:bCs w:val="0"/>
        <w:lang w:eastAsia="zh-CN"/>
      </w:rPr>
      <w:drawing>
        <wp:anchor distT="0" distB="0" distL="114300" distR="114300" simplePos="0" relativeHeight="251661312" behindDoc="1" locked="0" layoutInCell="1" allowOverlap="1">
          <wp:simplePos x="0" y="0"/>
          <wp:positionH relativeFrom="column">
            <wp:posOffset>32385</wp:posOffset>
          </wp:positionH>
          <wp:positionV relativeFrom="paragraph">
            <wp:posOffset>-841375</wp:posOffset>
          </wp:positionV>
          <wp:extent cx="682625" cy="791845"/>
          <wp:effectExtent l="0" t="0" r="53975" b="46355"/>
          <wp:wrapThrough wrapText="bothSides">
            <wp:wrapPolygon>
              <wp:start x="0" y="0"/>
              <wp:lineTo x="0" y="20786"/>
              <wp:lineTo x="20897" y="20786"/>
              <wp:lineTo x="20897" y="0"/>
              <wp:lineTo x="0" y="0"/>
            </wp:wrapPolygon>
          </wp:wrapThrough>
          <wp:docPr id="6" name="Picture 6" descr="Logo Baru SHM 20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Logo Baru SHM 202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2625" cy="7918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default" w:ascii="Arial" w:hAnsi="Arial" w:cs="Arial" w:eastAsiaTheme="minorEastAsia"/>
        <w:b w:val="0"/>
        <w:bCs w:val="0"/>
        <w:lang w:eastAsia="zh-CN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-240665</wp:posOffset>
              </wp:positionH>
              <wp:positionV relativeFrom="paragraph">
                <wp:posOffset>77470</wp:posOffset>
              </wp:positionV>
              <wp:extent cx="6405245" cy="0"/>
              <wp:effectExtent l="0" t="19050" r="0" b="19050"/>
              <wp:wrapNone/>
              <wp:docPr id="4" name="直接连接符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4997" cy="0"/>
                      </a:xfrm>
                      <a:prstGeom prst="line">
                        <a:avLst/>
                      </a:prstGeom>
                      <a:noFill/>
                      <a:ln w="38100" cap="flat" cmpd="sng" algn="ctr">
                        <a:solidFill>
                          <a:srgbClr val="0039C2"/>
                        </a:solidFill>
                        <a:prstDash val="solid"/>
                        <a:miter lim="800000"/>
                      </a:ln>
                      <a:effectLst/>
                    </wps:spPr>
                    <wps:bodyPr upright="0"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8.95pt;margin-top:6.1pt;height:0pt;width:504.35pt;z-index:251660288;mso-width-relative:page;mso-height-relative:page;" filled="f" stroked="t" coordsize="21600,21600" o:gfxdata="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FGteK3YAAAACQEAAA8AAAAAAAAAAQAgAAAAIgAAAGRycy9kb3ducmV2LnhtbFBL&#10;AQIUABQAAAAIAIdO4kADmiBv9gEAAMwDAAAOAAAAAAAAAAEAIAAAACcBAABkcnMvZTJvRG9jLnht&#10;bFBLBQYAAAAABgAGAFkBAACPBQAAAAA=&#10;">
              <v:fill on="f" focussize="0,0"/>
              <v:stroke weight="3pt" color="#0039C2" miterlimit="8" joinstyle="miter"/>
              <v:imagedata o:title=""/>
              <o:lock v:ext="edit" aspectratio="f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B4BD3AB"/>
    <w:multiLevelType w:val="singleLevel"/>
    <w:tmpl w:val="FB4BD3AB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2B4F366B"/>
    <w:multiLevelType w:val="multilevel"/>
    <w:tmpl w:val="2B4F366B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6430E31"/>
    <w:rsid w:val="07237EA0"/>
    <w:rsid w:val="07EE448B"/>
    <w:rsid w:val="0C261620"/>
    <w:rsid w:val="0D894C89"/>
    <w:rsid w:val="0F2F332B"/>
    <w:rsid w:val="0FF7D83B"/>
    <w:rsid w:val="120758F8"/>
    <w:rsid w:val="14744C68"/>
    <w:rsid w:val="15321997"/>
    <w:rsid w:val="15B84815"/>
    <w:rsid w:val="15D5268A"/>
    <w:rsid w:val="15FC4657"/>
    <w:rsid w:val="16BD3EC5"/>
    <w:rsid w:val="17761249"/>
    <w:rsid w:val="181A246B"/>
    <w:rsid w:val="18EC69DF"/>
    <w:rsid w:val="197FAAF6"/>
    <w:rsid w:val="1A8F2AE1"/>
    <w:rsid w:val="1B9B77D8"/>
    <w:rsid w:val="1BDF7371"/>
    <w:rsid w:val="1D4622ED"/>
    <w:rsid w:val="1D636CF6"/>
    <w:rsid w:val="1D874AD8"/>
    <w:rsid w:val="1D8E094C"/>
    <w:rsid w:val="1DAD3962"/>
    <w:rsid w:val="1DDA5B1A"/>
    <w:rsid w:val="1F7F577A"/>
    <w:rsid w:val="1FC72131"/>
    <w:rsid w:val="20045643"/>
    <w:rsid w:val="20256A06"/>
    <w:rsid w:val="2080575F"/>
    <w:rsid w:val="21630240"/>
    <w:rsid w:val="21C200C6"/>
    <w:rsid w:val="220B4883"/>
    <w:rsid w:val="23FC3C42"/>
    <w:rsid w:val="252E07FB"/>
    <w:rsid w:val="26396546"/>
    <w:rsid w:val="26FE0D3D"/>
    <w:rsid w:val="271A305E"/>
    <w:rsid w:val="278D02FC"/>
    <w:rsid w:val="27FDA530"/>
    <w:rsid w:val="2A356F5A"/>
    <w:rsid w:val="2B7E18C1"/>
    <w:rsid w:val="2CEB4EE3"/>
    <w:rsid w:val="2DBD6BB4"/>
    <w:rsid w:val="2E63007C"/>
    <w:rsid w:val="2FC40845"/>
    <w:rsid w:val="2FD761A3"/>
    <w:rsid w:val="2FEF6C8F"/>
    <w:rsid w:val="30995A74"/>
    <w:rsid w:val="31817E9E"/>
    <w:rsid w:val="31B86B15"/>
    <w:rsid w:val="33EB570D"/>
    <w:rsid w:val="36CC1840"/>
    <w:rsid w:val="3777BE6A"/>
    <w:rsid w:val="3ACB7C1F"/>
    <w:rsid w:val="3B42554A"/>
    <w:rsid w:val="3B7B68CC"/>
    <w:rsid w:val="3BBD0D5C"/>
    <w:rsid w:val="3BD156E2"/>
    <w:rsid w:val="3BFB1C88"/>
    <w:rsid w:val="3DD94C85"/>
    <w:rsid w:val="3EC9243F"/>
    <w:rsid w:val="3EE7E18E"/>
    <w:rsid w:val="3F5F591B"/>
    <w:rsid w:val="3F8F8417"/>
    <w:rsid w:val="3F9285E0"/>
    <w:rsid w:val="3FA65A02"/>
    <w:rsid w:val="3FCC083B"/>
    <w:rsid w:val="3FFF49D8"/>
    <w:rsid w:val="412A2E87"/>
    <w:rsid w:val="429B3DB9"/>
    <w:rsid w:val="44CC6046"/>
    <w:rsid w:val="44D4386D"/>
    <w:rsid w:val="45454746"/>
    <w:rsid w:val="45482571"/>
    <w:rsid w:val="47177187"/>
    <w:rsid w:val="474D3D17"/>
    <w:rsid w:val="479B514F"/>
    <w:rsid w:val="48BF66C2"/>
    <w:rsid w:val="48E16CB8"/>
    <w:rsid w:val="4B13594E"/>
    <w:rsid w:val="4D9BFC77"/>
    <w:rsid w:val="501A4937"/>
    <w:rsid w:val="514C17ED"/>
    <w:rsid w:val="526468BE"/>
    <w:rsid w:val="533FFD10"/>
    <w:rsid w:val="55265695"/>
    <w:rsid w:val="55593312"/>
    <w:rsid w:val="557D4C35"/>
    <w:rsid w:val="558F00F6"/>
    <w:rsid w:val="55F24813"/>
    <w:rsid w:val="58544147"/>
    <w:rsid w:val="586C3602"/>
    <w:rsid w:val="5B1A2962"/>
    <w:rsid w:val="5BFFDFBD"/>
    <w:rsid w:val="5D5DEE61"/>
    <w:rsid w:val="5DDE82A2"/>
    <w:rsid w:val="5DE6A359"/>
    <w:rsid w:val="5E1D09D0"/>
    <w:rsid w:val="5E370F1C"/>
    <w:rsid w:val="5E7C22F4"/>
    <w:rsid w:val="5E9F754A"/>
    <w:rsid w:val="5F5EEFE7"/>
    <w:rsid w:val="5FEEA0DA"/>
    <w:rsid w:val="5FEF9902"/>
    <w:rsid w:val="5FF67928"/>
    <w:rsid w:val="608B23E6"/>
    <w:rsid w:val="618C45B4"/>
    <w:rsid w:val="62034376"/>
    <w:rsid w:val="620B2291"/>
    <w:rsid w:val="62F7557B"/>
    <w:rsid w:val="63201AF6"/>
    <w:rsid w:val="635C20CB"/>
    <w:rsid w:val="65354B2E"/>
    <w:rsid w:val="6773BE62"/>
    <w:rsid w:val="677EF487"/>
    <w:rsid w:val="68F87327"/>
    <w:rsid w:val="694D610D"/>
    <w:rsid w:val="699975D9"/>
    <w:rsid w:val="6AAA0A08"/>
    <w:rsid w:val="6ADF11D7"/>
    <w:rsid w:val="6B751839"/>
    <w:rsid w:val="6B7FB5C3"/>
    <w:rsid w:val="6BFAA11C"/>
    <w:rsid w:val="6C0A7533"/>
    <w:rsid w:val="6CF78120"/>
    <w:rsid w:val="6D08089B"/>
    <w:rsid w:val="6D2B3276"/>
    <w:rsid w:val="6DA31384"/>
    <w:rsid w:val="6DF94543"/>
    <w:rsid w:val="6E7F3A02"/>
    <w:rsid w:val="6ED9D513"/>
    <w:rsid w:val="6EFCCC98"/>
    <w:rsid w:val="6EFF96FB"/>
    <w:rsid w:val="6F23736B"/>
    <w:rsid w:val="6F650889"/>
    <w:rsid w:val="6FB5E437"/>
    <w:rsid w:val="6FF7E971"/>
    <w:rsid w:val="70FB4485"/>
    <w:rsid w:val="71732C50"/>
    <w:rsid w:val="71C1672B"/>
    <w:rsid w:val="73073E7D"/>
    <w:rsid w:val="7313696E"/>
    <w:rsid w:val="74047794"/>
    <w:rsid w:val="75391269"/>
    <w:rsid w:val="757F47BA"/>
    <w:rsid w:val="75D7FC35"/>
    <w:rsid w:val="75D90501"/>
    <w:rsid w:val="75E7B072"/>
    <w:rsid w:val="75F6721C"/>
    <w:rsid w:val="766E3CB5"/>
    <w:rsid w:val="76CF09D4"/>
    <w:rsid w:val="772342D4"/>
    <w:rsid w:val="77757F77"/>
    <w:rsid w:val="77E6E17D"/>
    <w:rsid w:val="78EC4051"/>
    <w:rsid w:val="78FFF6C2"/>
    <w:rsid w:val="793D4655"/>
    <w:rsid w:val="799A617B"/>
    <w:rsid w:val="7B7140CA"/>
    <w:rsid w:val="7B7723FB"/>
    <w:rsid w:val="7B99ECB8"/>
    <w:rsid w:val="7BBF05E9"/>
    <w:rsid w:val="7BDD543D"/>
    <w:rsid w:val="7BEF1595"/>
    <w:rsid w:val="7D1E5E3A"/>
    <w:rsid w:val="7DB73519"/>
    <w:rsid w:val="7DB84119"/>
    <w:rsid w:val="7DF6FB41"/>
    <w:rsid w:val="7E1E0B6A"/>
    <w:rsid w:val="7E86468E"/>
    <w:rsid w:val="7EBF65EC"/>
    <w:rsid w:val="7EE995B2"/>
    <w:rsid w:val="7EFF68D4"/>
    <w:rsid w:val="7EFFCD06"/>
    <w:rsid w:val="7F159260"/>
    <w:rsid w:val="7F7F70F1"/>
    <w:rsid w:val="7F7FC928"/>
    <w:rsid w:val="7F9F3A4F"/>
    <w:rsid w:val="7FAA638C"/>
    <w:rsid w:val="7FBF27ED"/>
    <w:rsid w:val="7FD7615D"/>
    <w:rsid w:val="7FDFD700"/>
    <w:rsid w:val="7FF63B06"/>
    <w:rsid w:val="7FF7552A"/>
    <w:rsid w:val="7FF84809"/>
    <w:rsid w:val="7FFA257D"/>
    <w:rsid w:val="7FFF4C8B"/>
    <w:rsid w:val="7FFFAE4C"/>
    <w:rsid w:val="87EFD2EC"/>
    <w:rsid w:val="8EFE4491"/>
    <w:rsid w:val="9137EFD5"/>
    <w:rsid w:val="97DF8C8D"/>
    <w:rsid w:val="97FFF81E"/>
    <w:rsid w:val="9AB70D98"/>
    <w:rsid w:val="9BD7EF83"/>
    <w:rsid w:val="9D7F3FB9"/>
    <w:rsid w:val="9E6C5784"/>
    <w:rsid w:val="9EBF456F"/>
    <w:rsid w:val="9EDFBD6A"/>
    <w:rsid w:val="9EFB46F5"/>
    <w:rsid w:val="9F699238"/>
    <w:rsid w:val="9F6CBD05"/>
    <w:rsid w:val="9FBFA513"/>
    <w:rsid w:val="9FEFABCB"/>
    <w:rsid w:val="AAEFD2AA"/>
    <w:rsid w:val="AFFD733D"/>
    <w:rsid w:val="B57D470D"/>
    <w:rsid w:val="B6EEF6BC"/>
    <w:rsid w:val="B7373BAC"/>
    <w:rsid w:val="BADF363C"/>
    <w:rsid w:val="BAEB724B"/>
    <w:rsid w:val="BAF51213"/>
    <w:rsid w:val="BAFF1FF7"/>
    <w:rsid w:val="BB7F2968"/>
    <w:rsid w:val="BBFFFA09"/>
    <w:rsid w:val="BDFFC510"/>
    <w:rsid w:val="BE9DB0A7"/>
    <w:rsid w:val="BEFA55B8"/>
    <w:rsid w:val="BF5F7FB6"/>
    <w:rsid w:val="BF9EB9DA"/>
    <w:rsid w:val="BFAFBCE6"/>
    <w:rsid w:val="BFB696A2"/>
    <w:rsid w:val="BFD46975"/>
    <w:rsid w:val="BFDF36D4"/>
    <w:rsid w:val="BFDF88F1"/>
    <w:rsid w:val="BFDFE970"/>
    <w:rsid w:val="BFEF6E8F"/>
    <w:rsid w:val="C1B5D1A0"/>
    <w:rsid w:val="C5F7C48C"/>
    <w:rsid w:val="C7EF45BE"/>
    <w:rsid w:val="C7FFD7D4"/>
    <w:rsid w:val="CA5F1CB1"/>
    <w:rsid w:val="CBEF069B"/>
    <w:rsid w:val="CCDF4864"/>
    <w:rsid w:val="CDF52287"/>
    <w:rsid w:val="CDF62A6D"/>
    <w:rsid w:val="CEDFEB85"/>
    <w:rsid w:val="D2DF5404"/>
    <w:rsid w:val="D4E21391"/>
    <w:rsid w:val="D5BB3ED7"/>
    <w:rsid w:val="D7D70942"/>
    <w:rsid w:val="D7FF55AF"/>
    <w:rsid w:val="DA8D4C10"/>
    <w:rsid w:val="DB7EC565"/>
    <w:rsid w:val="DBFD4CB0"/>
    <w:rsid w:val="DCBF05AD"/>
    <w:rsid w:val="DD6B9B60"/>
    <w:rsid w:val="DDB71E72"/>
    <w:rsid w:val="DDBF5CF5"/>
    <w:rsid w:val="DDDBC970"/>
    <w:rsid w:val="DEDF7C59"/>
    <w:rsid w:val="DF7BE9F8"/>
    <w:rsid w:val="DFDE0ADA"/>
    <w:rsid w:val="DFEE4A56"/>
    <w:rsid w:val="DFEFF3B4"/>
    <w:rsid w:val="DFFB02B8"/>
    <w:rsid w:val="DFFD782D"/>
    <w:rsid w:val="DFFE8B85"/>
    <w:rsid w:val="DFFF8532"/>
    <w:rsid w:val="DFFFB0C9"/>
    <w:rsid w:val="E5B9CEF3"/>
    <w:rsid w:val="E7CFE53B"/>
    <w:rsid w:val="E7FA3E86"/>
    <w:rsid w:val="E7FF509E"/>
    <w:rsid w:val="E7FF7EA6"/>
    <w:rsid w:val="E99DA595"/>
    <w:rsid w:val="E9DB7CED"/>
    <w:rsid w:val="EBFF7CCE"/>
    <w:rsid w:val="ED8FC8A0"/>
    <w:rsid w:val="EEEF3A64"/>
    <w:rsid w:val="EF75090B"/>
    <w:rsid w:val="EFA37756"/>
    <w:rsid w:val="EFDDD2BE"/>
    <w:rsid w:val="EFEDB337"/>
    <w:rsid w:val="EFFDF154"/>
    <w:rsid w:val="EFFEA96E"/>
    <w:rsid w:val="EFFF95B0"/>
    <w:rsid w:val="F1EF3895"/>
    <w:rsid w:val="F3D36E39"/>
    <w:rsid w:val="F3D73CC4"/>
    <w:rsid w:val="F3EF7E87"/>
    <w:rsid w:val="F3F6A92D"/>
    <w:rsid w:val="F5332FF9"/>
    <w:rsid w:val="F5BF4A57"/>
    <w:rsid w:val="F6EB2067"/>
    <w:rsid w:val="F6FFB050"/>
    <w:rsid w:val="F76127D3"/>
    <w:rsid w:val="F7B390F7"/>
    <w:rsid w:val="F7DE5021"/>
    <w:rsid w:val="F7E8CFF7"/>
    <w:rsid w:val="F7FB68DC"/>
    <w:rsid w:val="F945E7EA"/>
    <w:rsid w:val="F97F0054"/>
    <w:rsid w:val="FAE932EB"/>
    <w:rsid w:val="FAF75397"/>
    <w:rsid w:val="FB1CF5C3"/>
    <w:rsid w:val="FB3F506C"/>
    <w:rsid w:val="FBAAB394"/>
    <w:rsid w:val="FBAFCF7C"/>
    <w:rsid w:val="FBDFCDE9"/>
    <w:rsid w:val="FBE6483A"/>
    <w:rsid w:val="FBF7A49F"/>
    <w:rsid w:val="FBFB3658"/>
    <w:rsid w:val="FBFF0FCF"/>
    <w:rsid w:val="FCB61E59"/>
    <w:rsid w:val="FCEE3F11"/>
    <w:rsid w:val="FD396301"/>
    <w:rsid w:val="FD3A3C1A"/>
    <w:rsid w:val="FD758268"/>
    <w:rsid w:val="FD9E9789"/>
    <w:rsid w:val="FDDD923B"/>
    <w:rsid w:val="FDE7AC06"/>
    <w:rsid w:val="FE3B71BA"/>
    <w:rsid w:val="FEDB986F"/>
    <w:rsid w:val="FEDFE81D"/>
    <w:rsid w:val="FEE9AD1F"/>
    <w:rsid w:val="FEF1B668"/>
    <w:rsid w:val="FEF5A47C"/>
    <w:rsid w:val="FEFF18DF"/>
    <w:rsid w:val="FEFF1E71"/>
    <w:rsid w:val="FEFF71CA"/>
    <w:rsid w:val="FF16D043"/>
    <w:rsid w:val="FF5E55B8"/>
    <w:rsid w:val="FF6B8116"/>
    <w:rsid w:val="FF6FC4C9"/>
    <w:rsid w:val="FF767030"/>
    <w:rsid w:val="FF9BCE98"/>
    <w:rsid w:val="FFA5385E"/>
    <w:rsid w:val="FFAB94D0"/>
    <w:rsid w:val="FFAF6A72"/>
    <w:rsid w:val="FFBE0D0D"/>
    <w:rsid w:val="FFBFE082"/>
    <w:rsid w:val="FFD66F8E"/>
    <w:rsid w:val="FFF34FB1"/>
    <w:rsid w:val="FFFB6B75"/>
    <w:rsid w:val="FFFD2C78"/>
    <w:rsid w:val="FFFD5AE9"/>
    <w:rsid w:val="FFFFF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6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2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6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5">
    <w:name w:val="HTML Code"/>
    <w:basedOn w:val="12"/>
    <w:semiHidden/>
    <w:unhideWhenUsed/>
    <w:uiPriority w:val="99"/>
    <w:rPr>
      <w:rFonts w:ascii="Courier New" w:hAnsi="Courier New"/>
      <w:sz w:val="20"/>
    </w:rPr>
  </w:style>
  <w:style w:type="character" w:customStyle="1" w:styleId="16">
    <w:name w:val="Header Char"/>
    <w:basedOn w:val="12"/>
    <w:link w:val="7"/>
    <w:qFormat/>
    <w:uiPriority w:val="99"/>
    <w:rPr>
      <w:lang w:val="id-ID"/>
    </w:rPr>
  </w:style>
  <w:style w:type="paragraph" w:styleId="17">
    <w:name w:val="Intense Quote"/>
    <w:basedOn w:val="1"/>
    <w:next w:val="1"/>
    <w:link w:val="18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8">
    <w:name w:val="Intense Quote Char"/>
    <w:basedOn w:val="12"/>
    <w:link w:val="17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9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20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1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2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3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4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5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6">
    <w:name w:val="List Paragraph"/>
    <w:basedOn w:val="1"/>
    <w:link w:val="44"/>
    <w:qFormat/>
    <w:uiPriority w:val="34"/>
    <w:pPr>
      <w:ind w:left="720"/>
      <w:contextualSpacing/>
    </w:pPr>
  </w:style>
  <w:style w:type="table" w:customStyle="1" w:styleId="27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3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4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5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9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0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1">
    <w:name w:val="normaltextrun"/>
    <w:basedOn w:val="12"/>
    <w:qFormat/>
    <w:uiPriority w:val="0"/>
  </w:style>
  <w:style w:type="character" w:customStyle="1" w:styleId="42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3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4">
    <w:name w:val="List Paragraph Char"/>
    <w:link w:val="26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5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6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  <w:style w:type="paragraph" w:customStyle="1" w:styleId="47">
    <w:name w:val="p1"/>
    <w:basedOn w:val="1"/>
    <w:uiPriority w:val="0"/>
    <w:pPr>
      <w:spacing w:before="0" w:beforeAutospacing="0" w:after="0" w:afterAutospacing="0"/>
      <w:ind w:left="440" w:right="0"/>
      <w:jc w:val="left"/>
    </w:pPr>
    <w:rPr>
      <w:rFonts w:ascii="Helvetica Neue" w:hAnsi="Helvetica Neue" w:eastAsia="Helvetica Neue" w:cs="Helvetica Neue"/>
      <w:kern w:val="0"/>
      <w:sz w:val="26"/>
      <w:szCs w:val="26"/>
      <w:lang w:val="en-US" w:eastAsia="zh-CN" w:bidi="ar"/>
    </w:rPr>
  </w:style>
  <w:style w:type="character" w:customStyle="1" w:styleId="48">
    <w:name w:val="s1"/>
    <w:basedOn w:val="12"/>
    <w:uiPriority w:val="0"/>
    <w:rPr>
      <w:rFonts w:ascii="pingfang sc" w:hAnsi="pingfang sc" w:eastAsia="pingfang sc" w:cs="pingfang sc"/>
      <w:sz w:val="26"/>
      <w:szCs w:val="26"/>
    </w:rPr>
  </w:style>
  <w:style w:type="paragraph" w:customStyle="1" w:styleId="49">
    <w:name w:val="p2"/>
    <w:basedOn w:val="1"/>
    <w:uiPriority w:val="0"/>
    <w:pPr>
      <w:spacing w:before="0" w:beforeAutospacing="0" w:after="0" w:afterAutospacing="0"/>
      <w:ind w:left="440" w:right="0"/>
      <w:jc w:val="left"/>
    </w:pPr>
    <w:rPr>
      <w:rFonts w:hint="default" w:ascii="Helvetica Neue" w:hAnsi="Helvetica Neue" w:eastAsia="Helvetica Neue" w:cs="Helvetica Neue"/>
      <w:kern w:val="0"/>
      <w:sz w:val="26"/>
      <w:szCs w:val="26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5693</Words>
  <Characters>6585</Characters>
  <Lines>58</Lines>
  <Paragraphs>16</Paragraphs>
  <TotalTime>20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2026-01-14T18:58:00Z</dcterms:created>
  <dc:creator>olivi</dc:creator>
  <cp:lastModifiedBy>【祈祷】</cp:lastModifiedBy>
  <cp:lastPrinted>2025-11-26T11:54:00Z</cp:lastPrinted>
  <dcterms:modified xsi:type="dcterms:W3CDTF">2026-09-12T16:38:00Z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