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450A1">
      <w:pPr>
        <w:spacing w:after="0" w:line="240" w:lineRule="auto"/>
        <w:rPr>
          <w:rFonts w:hint="default" w:ascii="仿宋" w:hAnsi="仿宋" w:eastAsia="仿宋"/>
          <w:sz w:val="24"/>
          <w:lang w:val="en-US" w:eastAsia="zh-CN"/>
        </w:rPr>
      </w:pPr>
      <w:r>
        <w:rPr>
          <w:rFonts w:hint="eastAsia" w:ascii="仿宋" w:hAnsi="仿宋" w:eastAsia="仿宋"/>
          <w:sz w:val="24"/>
          <w:lang w:val="en-US" w:eastAsia="zh-CN"/>
        </w:rPr>
        <w:t>公司名称   ：PT ECO ENVIRONMENTAL DATA</w:t>
      </w:r>
      <w:r>
        <w:rPr>
          <w:rFonts w:hint="eastAsia" w:ascii="仿宋" w:hAnsi="仿宋" w:eastAsia="仿宋"/>
          <w:sz w:val="24"/>
          <w:lang w:val="en-US"/>
        </w:rPr>
        <w:br w:type="textWrapping"/>
      </w:r>
      <w:r>
        <w:rPr>
          <w:rFonts w:hint="eastAsia" w:ascii="仿宋" w:hAnsi="仿宋" w:eastAsia="仿宋"/>
          <w:sz w:val="24"/>
          <w:lang w:val="en-US"/>
        </w:rPr>
        <w:t>联系人     ：</w:t>
      </w:r>
      <w:r>
        <w:rPr>
          <w:rFonts w:hint="eastAsia" w:ascii="仿宋" w:hAnsi="仿宋" w:eastAsia="仿宋"/>
          <w:sz w:val="24"/>
          <w:lang w:val="en-US" w:eastAsia="zh-CN"/>
        </w:rPr>
        <w:t>琴总</w:t>
      </w:r>
      <w:bookmarkStart w:id="2" w:name="_GoBack"/>
      <w:bookmarkEnd w:id="2"/>
    </w:p>
    <w:p w14:paraId="2A2626F4">
      <w:pPr>
        <w:spacing w:after="0" w:line="240" w:lineRule="auto"/>
        <w:rPr>
          <w:rFonts w:hint="eastAsia" w:ascii="仿宋" w:hAnsi="仿宋" w:eastAsia="仿宋"/>
          <w:sz w:val="24"/>
          <w:lang w:val="en-US" w:eastAsia="zh-CN"/>
        </w:rPr>
      </w:pPr>
      <w:r>
        <w:rPr>
          <w:rFonts w:hint="eastAsia" w:ascii="仿宋" w:hAnsi="仿宋" w:eastAsia="仿宋"/>
          <w:sz w:val="24"/>
          <w:lang w:val="en-US"/>
        </w:rPr>
        <w:t>联系方式   ：</w:t>
      </w:r>
      <w:r>
        <w:rPr>
          <w:rFonts w:hint="eastAsia" w:ascii="仿宋" w:hAnsi="仿宋" w:eastAsia="仿宋"/>
          <w:sz w:val="24"/>
          <w:lang w:val="en-US" w:eastAsia="zh-CN"/>
        </w:rPr>
        <w:t>微信</w:t>
      </w:r>
    </w:p>
    <w:p w14:paraId="14B118CA">
      <w:pPr>
        <w:spacing w:after="0" w:line="240" w:lineRule="auto"/>
        <w:rPr>
          <w:rFonts w:hint="eastAsia" w:ascii="仿宋" w:hAnsi="仿宋" w:eastAsia="仿宋"/>
          <w:sz w:val="24"/>
        </w:rPr>
      </w:pPr>
      <w:r>
        <w:rPr>
          <w:rFonts w:hint="eastAsia" w:ascii="仿宋" w:hAnsi="仿宋" w:eastAsia="仿宋"/>
          <w:sz w:val="24"/>
        </w:rPr>
        <w:t xml:space="preserve">报价日期 </w:t>
      </w:r>
      <w:r>
        <w:rPr>
          <w:rFonts w:ascii="仿宋" w:hAnsi="仿宋" w:eastAsia="仿宋"/>
          <w:sz w:val="24"/>
        </w:rPr>
        <w:t xml:space="preserve">  </w:t>
      </w:r>
      <w:r>
        <w:rPr>
          <w:rFonts w:hint="eastAsia" w:ascii="仿宋" w:hAnsi="仿宋" w:eastAsia="仿宋"/>
          <w:sz w:val="24"/>
        </w:rPr>
        <w:t>：202</w:t>
      </w:r>
      <w:r>
        <w:rPr>
          <w:rFonts w:hint="eastAsia" w:ascii="仿宋" w:hAnsi="仿宋" w:eastAsia="仿宋"/>
          <w:sz w:val="24"/>
          <w:lang w:val="en-US" w:eastAsia="zh-CN"/>
        </w:rPr>
        <w:t>6</w:t>
      </w:r>
      <w:r>
        <w:rPr>
          <w:rFonts w:hint="eastAsia" w:ascii="仿宋" w:hAnsi="仿宋" w:eastAsia="仿宋"/>
          <w:sz w:val="24"/>
        </w:rPr>
        <w:t>年</w:t>
      </w:r>
      <w:r>
        <w:rPr>
          <w:rFonts w:hint="eastAsia" w:ascii="仿宋" w:hAnsi="仿宋" w:eastAsia="仿宋"/>
          <w:sz w:val="24"/>
          <w:lang w:val="en-US" w:eastAsia="zh-CN"/>
        </w:rPr>
        <w:t>05</w:t>
      </w:r>
      <w:r>
        <w:rPr>
          <w:rFonts w:hint="eastAsia" w:ascii="仿宋" w:hAnsi="仿宋" w:eastAsia="仿宋"/>
          <w:sz w:val="24"/>
        </w:rPr>
        <w:t>月</w:t>
      </w:r>
      <w:r>
        <w:rPr>
          <w:rFonts w:hint="eastAsia" w:ascii="仿宋" w:hAnsi="仿宋" w:eastAsia="仿宋"/>
          <w:sz w:val="24"/>
          <w:lang w:val="en-US" w:eastAsia="zh-CN"/>
        </w:rPr>
        <w:t>08</w:t>
      </w:r>
      <w:r>
        <w:rPr>
          <w:rFonts w:hint="eastAsia" w:ascii="仿宋" w:hAnsi="仿宋" w:eastAsia="仿宋"/>
          <w:sz w:val="24"/>
        </w:rPr>
        <w:t>日</w:t>
      </w:r>
    </w:p>
    <w:p w14:paraId="7E649E8E">
      <w:pPr>
        <w:spacing w:after="0" w:line="240" w:lineRule="auto"/>
        <w:rPr>
          <w:rFonts w:hint="default" w:ascii="仿宋" w:hAnsi="仿宋" w:eastAsia="仿宋"/>
          <w:sz w:val="24"/>
          <w:lang w:val="en-US" w:eastAsia="zh-CN"/>
        </w:rPr>
      </w:pPr>
      <w:r>
        <w:rPr>
          <w:rFonts w:hint="eastAsia" w:ascii="仿宋" w:hAnsi="仿宋" w:eastAsia="仿宋"/>
          <w:sz w:val="24"/>
          <w:lang w:val="en-US" w:eastAsia="zh-CN"/>
        </w:rPr>
        <w:t>订单号     ：SHM/V/2026/S1000</w:t>
      </w:r>
    </w:p>
    <w:p w14:paraId="6910AF0F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/>
          <w:b/>
          <w:bCs/>
          <w:iCs/>
          <w:color w:val="4472C4" w:themeColor="accent1"/>
          <w:sz w:val="52"/>
          <w:szCs w:val="52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/>
          <w:b/>
          <w:bCs/>
          <w:iCs/>
          <w:color w:val="4472C4" w:themeColor="accent1"/>
          <w:sz w:val="44"/>
          <w:szCs w:val="44"/>
          <w:lang w:val="en-US" w:eastAsia="zh-CN"/>
          <w14:textFill>
            <w14:solidFill>
              <w14:schemeClr w14:val="accent1"/>
            </w14:solidFill>
          </w14:textFill>
        </w:rPr>
        <w:t>公司变更</w:t>
      </w:r>
      <w:r>
        <w:rPr>
          <w:rFonts w:hint="eastAsia" w:ascii="仿宋" w:hAnsi="仿宋" w:eastAsia="仿宋"/>
          <w:b/>
          <w:bCs/>
          <w:iCs/>
          <w:color w:val="4472C4" w:themeColor="accent1"/>
          <w:sz w:val="44"/>
          <w:szCs w:val="44"/>
          <w14:textFill>
            <w14:solidFill>
              <w14:schemeClr w14:val="accent1"/>
            </w14:solidFill>
          </w14:textFill>
        </w:rPr>
        <w:t>服务</w:t>
      </w:r>
      <w:r>
        <w:rPr>
          <w:rFonts w:hint="eastAsia" w:ascii="仿宋" w:hAnsi="仿宋" w:eastAsia="仿宋"/>
          <w:b/>
          <w:bCs/>
          <w:iCs/>
          <w:color w:val="4472C4" w:themeColor="accent1"/>
          <w:sz w:val="44"/>
          <w:szCs w:val="44"/>
          <w:lang w:val="en-US"/>
          <w14:textFill>
            <w14:solidFill>
              <w14:schemeClr w14:val="accent1"/>
            </w14:solidFill>
          </w14:textFill>
        </w:rPr>
        <w:t>方案</w:t>
      </w:r>
    </w:p>
    <w:p w14:paraId="4018BCB3">
      <w:pPr>
        <w:pStyle w:val="37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服务内容</w:t>
      </w:r>
    </w:p>
    <w:tbl>
      <w:tblPr>
        <w:tblStyle w:val="19"/>
        <w:tblW w:w="9597" w:type="dxa"/>
        <w:tblInd w:w="-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1524"/>
        <w:gridCol w:w="1221"/>
        <w:gridCol w:w="1232"/>
        <w:gridCol w:w="454"/>
        <w:gridCol w:w="4438"/>
      </w:tblGrid>
      <w:tr w14:paraId="422024B0">
        <w:trPr>
          <w:trHeight w:val="965" w:hRule="atLeast"/>
        </w:trPr>
        <w:tc>
          <w:tcPr>
            <w:tcW w:w="728" w:type="dxa"/>
            <w:shd w:val="clear" w:color="auto" w:fill="auto"/>
            <w:vAlign w:val="center"/>
          </w:tcPr>
          <w:p w14:paraId="100BE83C">
            <w:pPr>
              <w:spacing w:after="0" w:line="240" w:lineRule="auto"/>
              <w:ind w:left="-288" w:right="-288"/>
              <w:jc w:val="center"/>
              <w:rPr>
                <w:rFonts w:hint="eastAsia" w:ascii="仿宋" w:hAnsi="仿宋" w:eastAsia="仿宋" w:cs="仿宋"/>
                <w:b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sz w:val="24"/>
                <w:szCs w:val="24"/>
              </w:rPr>
              <w:t>序号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33D90B0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sz w:val="24"/>
                <w:szCs w:val="24"/>
              </w:rPr>
              <w:t>服务内容</w:t>
            </w:r>
          </w:p>
        </w:tc>
        <w:tc>
          <w:tcPr>
            <w:tcW w:w="1221" w:type="dxa"/>
            <w:shd w:val="clear" w:color="auto" w:fill="auto"/>
            <w:vAlign w:val="center"/>
          </w:tcPr>
          <w:p w14:paraId="2BA2FAE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1686" w:type="dxa"/>
            <w:gridSpan w:val="2"/>
            <w:shd w:val="clear" w:color="auto" w:fill="auto"/>
            <w:vAlign w:val="center"/>
          </w:tcPr>
          <w:p w14:paraId="1170F0A2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总价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（印尼盾）</w:t>
            </w:r>
          </w:p>
        </w:tc>
        <w:tc>
          <w:tcPr>
            <w:tcW w:w="4438" w:type="dxa"/>
            <w:shd w:val="clear" w:color="auto" w:fill="auto"/>
            <w:vAlign w:val="center"/>
          </w:tcPr>
          <w:p w14:paraId="6E8A13A2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备注</w:t>
            </w:r>
          </w:p>
        </w:tc>
      </w:tr>
      <w:tr w14:paraId="2A3FBC2F">
        <w:trPr>
          <w:trHeight w:val="1526" w:hRule="atLeast"/>
        </w:trPr>
        <w:tc>
          <w:tcPr>
            <w:tcW w:w="728" w:type="dxa"/>
            <w:vAlign w:val="center"/>
          </w:tcPr>
          <w:p w14:paraId="4DE85E42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24" w:type="dxa"/>
            <w:vAlign w:val="center"/>
          </w:tcPr>
          <w:p w14:paraId="6674F69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ID0118-公司变更-Perubahan Perusahaan</w:t>
            </w:r>
          </w:p>
        </w:tc>
        <w:tc>
          <w:tcPr>
            <w:tcW w:w="1221" w:type="dxa"/>
            <w:vAlign w:val="center"/>
          </w:tcPr>
          <w:p w14:paraId="30261A2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15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/>
              </w:rPr>
              <w:t>个工作日</w:t>
            </w:r>
          </w:p>
        </w:tc>
        <w:tc>
          <w:tcPr>
            <w:tcW w:w="1686" w:type="dxa"/>
            <w:gridSpan w:val="2"/>
            <w:vAlign w:val="center"/>
          </w:tcPr>
          <w:p w14:paraId="00D8316B">
            <w:pPr>
              <w:pStyle w:val="37"/>
              <w:numPr>
                <w:ilvl w:val="0"/>
                <w:numId w:val="0"/>
              </w:numPr>
              <w:spacing w:after="0" w:line="240" w:lineRule="auto"/>
              <w:ind w:leftChars="0"/>
              <w:jc w:val="both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18,000,000</w:t>
            </w:r>
          </w:p>
        </w:tc>
        <w:tc>
          <w:tcPr>
            <w:tcW w:w="4438" w:type="dxa"/>
            <w:vAlign w:val="center"/>
          </w:tcPr>
          <w:p w14:paraId="3B4A3E2B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right="20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经营范围变更：可以增加，减少或改换经营范围</w:t>
            </w:r>
          </w:p>
        </w:tc>
      </w:tr>
      <w:tr w14:paraId="6E98F84C">
        <w:trPr>
          <w:trHeight w:val="576" w:hRule="atLeast"/>
        </w:trPr>
        <w:tc>
          <w:tcPr>
            <w:tcW w:w="4705" w:type="dxa"/>
            <w:gridSpan w:val="4"/>
            <w:vAlign w:val="center"/>
          </w:tcPr>
          <w:p w14:paraId="5990F95D">
            <w:pPr>
              <w:spacing w:after="0" w:line="240" w:lineRule="auto"/>
              <w:ind w:firstLine="482" w:firstLineChars="200"/>
              <w:jc w:val="right"/>
              <w:rPr>
                <w:rFonts w:hint="eastAsia" w:ascii="仿宋" w:hAnsi="仿宋" w:eastAsia="仿宋" w:cs="仿宋"/>
                <w:bCs/>
                <w:sz w:val="24"/>
                <w:szCs w:val="24"/>
                <w:lang w:val="en-US"/>
              </w:rPr>
            </w:pPr>
            <w:bookmarkStart w:id="0" w:name="OLE_LINK1" w:colFirst="3" w:colLast="3"/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/>
              </w:rPr>
              <w:t>小计</w:t>
            </w:r>
          </w:p>
        </w:tc>
        <w:tc>
          <w:tcPr>
            <w:tcW w:w="4892" w:type="dxa"/>
            <w:gridSpan w:val="2"/>
            <w:vAlign w:val="center"/>
          </w:tcPr>
          <w:p w14:paraId="67E59BDA">
            <w:pPr>
              <w:spacing w:after="0" w:line="240" w:lineRule="auto"/>
              <w:ind w:firstLine="480" w:firstLineChars="200"/>
              <w:rPr>
                <w:rFonts w:hint="default" w:ascii="仿宋" w:hAnsi="仿宋" w:eastAsia="仿宋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18,000,000</w:t>
            </w:r>
          </w:p>
        </w:tc>
      </w:tr>
      <w:tr w14:paraId="5088C9BB">
        <w:trPr>
          <w:trHeight w:val="576" w:hRule="atLeast"/>
        </w:trPr>
        <w:tc>
          <w:tcPr>
            <w:tcW w:w="4705" w:type="dxa"/>
            <w:gridSpan w:val="4"/>
            <w:vAlign w:val="center"/>
          </w:tcPr>
          <w:p w14:paraId="5F01481C">
            <w:pPr>
              <w:spacing w:after="0" w:line="240" w:lineRule="auto"/>
              <w:ind w:firstLine="482" w:firstLineChars="200"/>
              <w:jc w:val="right"/>
              <w:rPr>
                <w:rFonts w:hint="eastAsia" w:ascii="仿宋" w:hAnsi="仿宋" w:eastAsia="仿宋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/>
              </w:rPr>
              <w:t>增值税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11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/>
              </w:rPr>
              <w:t>%</w:t>
            </w:r>
          </w:p>
        </w:tc>
        <w:tc>
          <w:tcPr>
            <w:tcW w:w="4892" w:type="dxa"/>
            <w:gridSpan w:val="2"/>
            <w:vAlign w:val="center"/>
          </w:tcPr>
          <w:p w14:paraId="5D34E02B">
            <w:pPr>
              <w:spacing w:after="0" w:line="240" w:lineRule="auto"/>
              <w:ind w:firstLine="480" w:firstLineChars="200"/>
              <w:rPr>
                <w:rFonts w:hint="default" w:ascii="仿宋" w:hAnsi="仿宋" w:eastAsia="仿宋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Times New Roman"/>
                <w:color w:val="000000"/>
                <w:sz w:val="24"/>
                <w:szCs w:val="24"/>
                <w:lang w:val="en-US" w:eastAsia="zh-CN"/>
              </w:rPr>
              <w:t>1,980,000</w:t>
            </w:r>
          </w:p>
        </w:tc>
      </w:tr>
      <w:tr w14:paraId="3D7D56D3">
        <w:trPr>
          <w:trHeight w:val="616" w:hRule="atLeast"/>
        </w:trPr>
        <w:tc>
          <w:tcPr>
            <w:tcW w:w="4705" w:type="dxa"/>
            <w:gridSpan w:val="4"/>
            <w:vAlign w:val="center"/>
          </w:tcPr>
          <w:p w14:paraId="3075B876">
            <w:pPr>
              <w:spacing w:after="0" w:line="240" w:lineRule="auto"/>
              <w:ind w:firstLine="482" w:firstLineChars="200"/>
              <w:jc w:val="right"/>
              <w:rPr>
                <w:rFonts w:hint="eastAsia" w:ascii="仿宋" w:hAnsi="仿宋" w:eastAsia="仿宋" w:cs="仿宋"/>
                <w:bCs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/>
              </w:rPr>
              <w:t>含税金额</w:t>
            </w:r>
          </w:p>
        </w:tc>
        <w:tc>
          <w:tcPr>
            <w:tcW w:w="4892" w:type="dxa"/>
            <w:gridSpan w:val="2"/>
            <w:vAlign w:val="center"/>
          </w:tcPr>
          <w:p w14:paraId="7CEA110C">
            <w:pPr>
              <w:spacing w:after="0" w:line="240" w:lineRule="auto"/>
              <w:ind w:firstLine="480" w:firstLineChars="200"/>
              <w:rPr>
                <w:rFonts w:hint="default" w:ascii="仿宋" w:hAnsi="仿宋" w:eastAsia="仿宋" w:cs="仿宋"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4"/>
                <w:szCs w:val="24"/>
                <w:lang w:val="en-US" w:eastAsia="zh-CN"/>
              </w:rPr>
              <w:t>19,980,000</w:t>
            </w:r>
          </w:p>
        </w:tc>
      </w:tr>
      <w:bookmarkEnd w:id="0"/>
    </w:tbl>
    <w:p w14:paraId="0C78A51D">
      <w:pPr>
        <w:spacing w:after="0" w:line="259" w:lineRule="auto"/>
        <w:rPr>
          <w:rFonts w:hint="eastAsia" w:ascii="仿宋" w:hAnsi="仿宋" w:eastAsia="仿宋" w:cs="仿宋"/>
          <w:b/>
          <w:bCs/>
          <w:color w:val="FF0000"/>
          <w:sz w:val="24"/>
          <w:szCs w:val="24"/>
          <w:lang w:val="en-US"/>
        </w:rPr>
      </w:pPr>
      <w:r>
        <w:rPr>
          <w:rFonts w:hint="eastAsia" w:ascii="仿宋" w:hAnsi="仿宋" w:eastAsia="仿宋" w:cs="仿宋"/>
          <w:b/>
          <w:bCs/>
          <w:color w:val="FF0000"/>
          <w:sz w:val="24"/>
          <w:szCs w:val="24"/>
          <w:lang w:val="en-US"/>
        </w:rPr>
        <w:t>*备注：</w:t>
      </w:r>
    </w:p>
    <w:p w14:paraId="0B62EF74">
      <w:pPr>
        <w:spacing w:after="0" w:line="259" w:lineRule="auto"/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以上服务报价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highlight w:val="yellow"/>
          <w:lang w:val="en-US"/>
          <w14:textFill>
            <w14:solidFill>
              <w14:schemeClr w14:val="tx1"/>
            </w14:solidFill>
          </w14:textFill>
        </w:rPr>
        <w:t>不包括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：</w:t>
      </w:r>
    </w:p>
    <w:p w14:paraId="6D88E52B">
      <w:pPr>
        <w:spacing w:after="0" w:line="240" w:lineRule="auto"/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*中印文件翻译费用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（如需）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：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12</w:t>
      </w:r>
      <w:r>
        <w:rPr>
          <w:rFonts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9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元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/页（普通翻译）或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19</w:t>
      </w:r>
      <w:r>
        <w:rPr>
          <w:rFonts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5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元</w:t>
      </w:r>
      <w:r>
        <w:rPr>
          <w:rFonts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页(宣誓翻译)</w:t>
      </w:r>
    </w:p>
    <w:p w14:paraId="37CC8D05">
      <w:pPr>
        <w:spacing w:after="0" w:line="240" w:lineRule="auto"/>
        <w:rPr>
          <w:rFonts w:hint="eastAsia" w:ascii="仿宋" w:hAnsi="仿宋" w:eastAsia="仿宋" w:cs="仿宋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*不包含资料往来快递费(国际快递</w:t>
      </w:r>
      <w:r>
        <w:rPr>
          <w:rFonts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)</w:t>
      </w: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、</w:t>
      </w:r>
      <w:r>
        <w:rPr>
          <w:rFonts w:ascii="仿宋" w:hAnsi="仿宋" w:eastAsia="仿宋" w:cs="仿宋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差旅费（大雅加达 Jabodetabek 区外）</w:t>
      </w:r>
    </w:p>
    <w:p w14:paraId="2AB814B1">
      <w:pPr>
        <w:spacing w:after="0" w:line="240" w:lineRule="auto"/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669E6F7C">
      <w:pPr>
        <w:spacing w:after="0" w:line="259" w:lineRule="auto"/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w:t>付款条件：</w:t>
      </w:r>
    </w:p>
    <w:p w14:paraId="0C767819">
      <w:pPr>
        <w:pStyle w:val="37"/>
        <w:numPr>
          <w:ilvl w:val="0"/>
          <w:numId w:val="0"/>
        </w:numPr>
        <w:spacing w:after="0" w:line="360" w:lineRule="auto"/>
        <w:ind w:leftChars="0" w:right="811" w:rightChars="0" w:firstLine="480" w:firstLineChars="200"/>
        <w:jc w:val="both"/>
        <w:rPr>
          <w:rFonts w:ascii="仿宋" w:hAnsi="仿宋" w:eastAsia="仿宋" w:cs="仿宋"/>
          <w:b/>
          <w:bCs/>
          <w:color w:val="0D0D0D" w:themeColor="text1" w:themeTint="F2"/>
          <w:sz w:val="24"/>
          <w:szCs w:val="24"/>
          <w:lang w:val="en-US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甲方</w:t>
      </w:r>
      <w:r>
        <w:rPr>
          <w:rFonts w:hint="eastAsia" w:ascii="仿宋" w:hAnsi="仿宋" w:eastAsia="仿宋" w:cs="仿宋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同意报价</w:t>
      </w:r>
      <w:r>
        <w:rPr>
          <w:rFonts w:hint="eastAsia" w:ascii="仿宋" w:hAnsi="仿宋" w:eastAsia="仿宋" w:cs="仿宋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确认合同后，甲方</w:t>
      </w:r>
      <w:r>
        <w:rPr>
          <w:rFonts w:hint="eastAsia" w:ascii="仿宋" w:hAnsi="仿宋" w:eastAsia="仿宋" w:cs="仿宋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在收到发票后5个工作日内支付</w:t>
      </w:r>
      <w:r>
        <w:rPr>
          <w:rFonts w:hint="eastAsia" w:ascii="仿宋" w:hAnsi="仿宋" w:eastAsia="仿宋" w:cs="仿宋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合同额的100%；</w:t>
      </w:r>
    </w:p>
    <w:p w14:paraId="39D09F4D">
      <w:pPr>
        <w:spacing w:after="0" w:line="360" w:lineRule="auto"/>
        <w:ind w:right="811"/>
        <w:jc w:val="both"/>
        <w:rPr>
          <w:rFonts w:hint="eastAsia" w:ascii="仿宋" w:hAnsi="仿宋" w:eastAsia="仿宋" w:cs="仿宋"/>
          <w:b/>
          <w:bCs/>
          <w:color w:val="0D0D0D" w:themeColor="text1" w:themeTint="F2"/>
          <w:sz w:val="24"/>
          <w:szCs w:val="24"/>
          <w:lang w:val="en-US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25C8DDE9">
      <w:pPr>
        <w:pStyle w:val="37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服务流程及交付材料清单</w:t>
      </w:r>
    </w:p>
    <w:tbl>
      <w:tblPr>
        <w:tblStyle w:val="19"/>
        <w:tblW w:w="9852" w:type="dxa"/>
        <w:tblInd w:w="-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3"/>
        <w:gridCol w:w="1947"/>
        <w:gridCol w:w="4556"/>
        <w:gridCol w:w="2786"/>
      </w:tblGrid>
      <w:tr w14:paraId="230B0657">
        <w:trPr>
          <w:trHeight w:val="381" w:hRule="atLeast"/>
        </w:trPr>
        <w:tc>
          <w:tcPr>
            <w:tcW w:w="563" w:type="dxa"/>
            <w:vAlign w:val="center"/>
          </w:tcPr>
          <w:p w14:paraId="25F5E938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947" w:type="dxa"/>
            <w:vAlign w:val="center"/>
          </w:tcPr>
          <w:p w14:paraId="6600DE4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  <w:lang w:val="en-US"/>
              </w:rPr>
              <w:t>项目</w:t>
            </w:r>
          </w:p>
        </w:tc>
        <w:tc>
          <w:tcPr>
            <w:tcW w:w="4556" w:type="dxa"/>
            <w:vAlign w:val="center"/>
          </w:tcPr>
          <w:p w14:paraId="4A5D7C2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  <w:lang w:val="en-US"/>
              </w:rPr>
              <w:t>流程</w:t>
            </w:r>
          </w:p>
        </w:tc>
        <w:tc>
          <w:tcPr>
            <w:tcW w:w="2786" w:type="dxa"/>
            <w:vAlign w:val="center"/>
          </w:tcPr>
          <w:p w14:paraId="7F70BCE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shd w:val="clear" w:color="auto" w:fill="FFFFFF"/>
              </w:rPr>
              <w:t>服务完成后交付文件</w:t>
            </w:r>
          </w:p>
        </w:tc>
      </w:tr>
      <w:tr w14:paraId="333C1AF1">
        <w:trPr>
          <w:trHeight w:val="762" w:hRule="atLeast"/>
        </w:trPr>
        <w:tc>
          <w:tcPr>
            <w:tcW w:w="563" w:type="dxa"/>
            <w:vAlign w:val="center"/>
          </w:tcPr>
          <w:p w14:paraId="3D898A1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947" w:type="dxa"/>
            <w:vAlign w:val="center"/>
          </w:tcPr>
          <w:p w14:paraId="6083586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ID0118-公司变更-Perubahan Perusahaan</w:t>
            </w:r>
          </w:p>
        </w:tc>
        <w:tc>
          <w:tcPr>
            <w:tcW w:w="4556" w:type="dxa"/>
          </w:tcPr>
          <w:p w14:paraId="21962A87">
            <w:pPr>
              <w:tabs>
                <w:tab w:val="left" w:pos="3165"/>
              </w:tabs>
              <w:spacing w:after="0" w:line="240" w:lineRule="auto"/>
              <w:jc w:val="left"/>
              <w:rPr>
                <w:rFonts w:hint="eastAsia" w:ascii="仿宋" w:hAnsi="仿宋" w:eastAsia="仿宋" w:cs="仿宋"/>
                <w:szCs w:val="20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第一步：收集资料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第二步：起草公司变更章程草稿（3 个工作日）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第三步：签署公司变更章程草稿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第四步：公证师颁发公司变更章程（3 个工作日）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第五步：公证师办理司法部批文（4 个工作日）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第六步：公证师颁发司法部批文（1 个工作日）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第七步：办理商业登记证和未激活的标准证书（3 个工作日）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br w:type="textWrapping"/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第八步：颁发商业登记证和未激活的标准证书（1 个工作日）</w:t>
            </w:r>
          </w:p>
        </w:tc>
        <w:tc>
          <w:tcPr>
            <w:tcW w:w="2786" w:type="dxa"/>
          </w:tcPr>
          <w:p w14:paraId="0E91A91B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1. 变更章程</w:t>
            </w:r>
          </w:p>
          <w:p w14:paraId="77992086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2. 司法部批文</w:t>
            </w:r>
          </w:p>
          <w:p w14:paraId="1B0A5921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3. 商业登记证</w:t>
            </w:r>
          </w:p>
          <w:p w14:paraId="6BE109A6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eastAsia" w:ascii="仿宋" w:hAnsi="仿宋" w:eastAsia="仿宋" w:cs="仿宋"/>
                <w:bCs/>
                <w:color w:val="000000" w:themeColor="text1"/>
                <w:szCs w:val="24"/>
                <w:shd w:val="clear" w:color="auto" w:fill="FFFFFF"/>
                <w:lang w:val="id-ID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4. 标准证书（中低和中高风险经营范围）</w:t>
            </w:r>
          </w:p>
        </w:tc>
      </w:tr>
    </w:tbl>
    <w:p w14:paraId="155AD9E3">
      <w:pPr>
        <w:spacing w:after="0" w:line="240" w:lineRule="auto"/>
        <w:rPr>
          <w:rFonts w:hint="eastAsia" w:ascii="仿宋" w:hAnsi="仿宋" w:eastAsia="仿宋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27E16E9">
      <w:pPr>
        <w:pStyle w:val="37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所需材料清单</w:t>
      </w:r>
    </w:p>
    <w:tbl>
      <w:tblPr>
        <w:tblStyle w:val="19"/>
        <w:tblW w:w="9857" w:type="dxa"/>
        <w:tblInd w:w="-11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3"/>
        <w:gridCol w:w="1905"/>
        <w:gridCol w:w="7389"/>
      </w:tblGrid>
      <w:tr w14:paraId="009CA9F7">
        <w:trPr>
          <w:trHeight w:val="452" w:hRule="atLeast"/>
        </w:trPr>
        <w:tc>
          <w:tcPr>
            <w:tcW w:w="563" w:type="dxa"/>
            <w:vAlign w:val="center"/>
          </w:tcPr>
          <w:p w14:paraId="3A41A87C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4"/>
                <w:szCs w:val="24"/>
                <w:lang w:val="en-US"/>
              </w:rPr>
              <w:t>序号</w:t>
            </w:r>
          </w:p>
        </w:tc>
        <w:tc>
          <w:tcPr>
            <w:tcW w:w="1905" w:type="dxa"/>
            <w:vAlign w:val="center"/>
          </w:tcPr>
          <w:p w14:paraId="03E96D9A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4"/>
                <w:szCs w:val="24"/>
                <w:lang w:val="en-US"/>
              </w:rPr>
              <w:t>项目</w:t>
            </w:r>
          </w:p>
        </w:tc>
        <w:tc>
          <w:tcPr>
            <w:tcW w:w="7389" w:type="dxa"/>
            <w:vAlign w:val="center"/>
          </w:tcPr>
          <w:p w14:paraId="2D1E5B2D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宋体"/>
                <w:b/>
                <w:color w:val="000000" w:themeColor="text1"/>
                <w:sz w:val="24"/>
                <w:szCs w:val="24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宋体"/>
                <w:b/>
                <w:color w:val="000000" w:themeColor="text1"/>
                <w:sz w:val="24"/>
                <w:szCs w:val="24"/>
                <w:lang w:val="en-US"/>
                <w14:textFill>
                  <w14:solidFill>
                    <w14:schemeClr w14:val="tx1"/>
                  </w14:solidFill>
                </w14:textFill>
              </w:rPr>
              <w:t>所需材料</w:t>
            </w:r>
          </w:p>
        </w:tc>
      </w:tr>
      <w:tr w14:paraId="3967939D">
        <w:trPr>
          <w:trHeight w:val="462" w:hRule="atLeast"/>
        </w:trPr>
        <w:tc>
          <w:tcPr>
            <w:tcW w:w="563" w:type="dxa"/>
            <w:vAlign w:val="center"/>
          </w:tcPr>
          <w:p w14:paraId="2DA66F0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4"/>
                <w:szCs w:val="24"/>
                <w:lang w:val="en-US" w:eastAsia="zh-CN"/>
              </w:rPr>
            </w:pPr>
            <w:bookmarkStart w:id="1" w:name="_Hlk113544266"/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905" w:type="dxa"/>
            <w:vAlign w:val="center"/>
          </w:tcPr>
          <w:p w14:paraId="64FF36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4"/>
                <w:szCs w:val="24"/>
                <w:lang w:val="en-US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ID0118-公司变更-Perubahan Perusahaan</w:t>
            </w:r>
          </w:p>
        </w:tc>
        <w:tc>
          <w:tcPr>
            <w:tcW w:w="7389" w:type="dxa"/>
          </w:tcPr>
          <w:p w14:paraId="6C119CC2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1. 公司章程以及变更（如有）</w:t>
            </w:r>
          </w:p>
          <w:p w14:paraId="0A7DBF19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2. 司法部批文</w:t>
            </w:r>
          </w:p>
          <w:p w14:paraId="1F7B79A9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3. 税卡和税务登记证</w:t>
            </w:r>
          </w:p>
          <w:p w14:paraId="4754CD1D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4. 商业登记证</w:t>
            </w:r>
          </w:p>
          <w:p w14:paraId="64C87B4C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5. 公司户籍（如果新的 OSS，不必提供）</w:t>
            </w:r>
          </w:p>
          <w:p w14:paraId="6426E7F4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6. 营业执照（如果新的 OSS，不必提供）</w:t>
            </w:r>
          </w:p>
          <w:p w14:paraId="61980EA3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7. 新和旧的经营范围清单</w:t>
            </w:r>
          </w:p>
          <w:p w14:paraId="6898E229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8. 董事监事信息： </w:t>
            </w:r>
          </w:p>
          <w:p w14:paraId="3FDE90E7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（1）印尼人：身份证、税卡、邮箱地址、手机号码  </w:t>
            </w:r>
          </w:p>
          <w:p w14:paraId="32D4C58B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（2）非印尼人：护照、税卡、邮箱地址、手机号码</w:t>
            </w:r>
          </w:p>
          <w:p w14:paraId="3D111C5D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9. 股东信息</w:t>
            </w:r>
            <w:r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  <w:t>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  </w:t>
            </w:r>
          </w:p>
          <w:p w14:paraId="50D248C2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（1）由个人当股东：        </w:t>
            </w:r>
          </w:p>
          <w:p w14:paraId="052E0D29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         a. 印尼人：身份证、税卡、邮箱地址、手机号码        </w:t>
            </w:r>
          </w:p>
          <w:p w14:paraId="320CDCA5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         b. 非印尼人：护照扫描件、邮箱地址、手机号码       </w:t>
            </w:r>
          </w:p>
          <w:p w14:paraId="05367551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（2）由外国公司当股东：          </w:t>
            </w:r>
          </w:p>
          <w:p w14:paraId="67B60170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         a. 公司章程（原版及英文翻译版的扫描件）          </w:t>
            </w:r>
          </w:p>
          <w:p w14:paraId="24DDB6A3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         b. 营业执照（原版及英文翻译版的扫描件）          </w:t>
            </w:r>
          </w:p>
          <w:p w14:paraId="6FDD2B8A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         c. 证明外国公司董事长的法律文件（如果在公司章程没显出董事长是谁）          </w:t>
            </w:r>
          </w:p>
          <w:p w14:paraId="144BE0F0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         d. 外国公司董事长/法定代表人的护照扫描件     </w:t>
            </w:r>
          </w:p>
          <w:p w14:paraId="7C1B6F9B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10. 建筑许可    </w:t>
            </w:r>
          </w:p>
          <w:p w14:paraId="5DCC5157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default" w:ascii="仿宋" w:hAnsi="仿宋" w:eastAsia="仿宋" w:cs="仿宋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11. 多边形地图    </w:t>
            </w:r>
          </w:p>
          <w:p w14:paraId="12148CBB">
            <w:pPr>
              <w:pStyle w:val="1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15" w:lineRule="atLeast"/>
              <w:ind w:left="200" w:right="200" w:firstLine="0"/>
              <w:rPr>
                <w:rFonts w:hint="eastAsia" w:ascii="仿宋" w:hAnsi="仿宋" w:eastAsia="仿宋" w:cs="仿宋"/>
                <w:color w:val="222222"/>
                <w:szCs w:val="21"/>
                <w:shd w:val="clear" w:color="auto" w:fill="FFFFFF"/>
                <w:lang w:bidi="ar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 w:bidi="ar-SA"/>
              </w:rPr>
              <w:t>12. 现有 OSS 系统用户名及密码</w:t>
            </w:r>
          </w:p>
        </w:tc>
      </w:tr>
      <w:bookmarkEnd w:id="1"/>
    </w:tbl>
    <w:p w14:paraId="7D6B602D">
      <w:pPr>
        <w:rPr>
          <w:rFonts w:hint="eastAsia" w:ascii="仿宋" w:hAnsi="仿宋" w:eastAsia="仿宋" w:cs="Times New Roman"/>
          <w:b/>
          <w:color w:val="FF0000"/>
          <w:sz w:val="24"/>
          <w:szCs w:val="24"/>
          <w:lang w:val="en-US"/>
        </w:rPr>
      </w:pPr>
    </w:p>
    <w:p w14:paraId="28737CDA">
      <w:pPr>
        <w:rPr>
          <w:rFonts w:hint="eastAsia" w:ascii="仿宋" w:hAnsi="仿宋" w:eastAsia="仿宋" w:cs="Times New Roman"/>
          <w:b/>
          <w:color w:val="FF0000"/>
          <w:sz w:val="24"/>
          <w:szCs w:val="24"/>
          <w:lang w:val="en-US"/>
        </w:rPr>
      </w:pPr>
      <w:r>
        <w:rPr>
          <w:rFonts w:hint="eastAsia" w:ascii="仿宋" w:hAnsi="仿宋" w:eastAsia="仿宋" w:cs="Times New Roman"/>
          <w:b/>
          <w:color w:val="FF0000"/>
          <w:sz w:val="24"/>
          <w:szCs w:val="24"/>
          <w:lang w:val="en-US"/>
        </w:rPr>
        <w:t>*</w:t>
      </w:r>
      <w:r>
        <w:rPr>
          <w:rFonts w:ascii="仿宋" w:hAnsi="仿宋" w:eastAsia="仿宋" w:cs="Times New Roman"/>
          <w:b/>
          <w:color w:val="FF0000"/>
          <w:sz w:val="24"/>
          <w:szCs w:val="24"/>
          <w:lang w:val="en-US"/>
        </w:rPr>
        <w:t>备注：</w:t>
      </w:r>
    </w:p>
    <w:p w14:paraId="71898F88">
      <w:pPr>
        <w:numPr>
          <w:ilvl w:val="0"/>
          <w:numId w:val="3"/>
        </w:numPr>
        <w:spacing w:after="0" w:line="240" w:lineRule="auto"/>
        <w:rPr>
          <w:rFonts w:hint="eastAsia" w:ascii="仿宋" w:hAnsi="仿宋" w:eastAsia="仿宋" w:cs="Times New Roman"/>
          <w:color w:val="000000"/>
          <w:sz w:val="24"/>
          <w:szCs w:val="24"/>
          <w:lang w:val="en-US"/>
        </w:rPr>
      </w:pPr>
      <w:r>
        <w:rPr>
          <w:rFonts w:ascii="仿宋" w:hAnsi="仿宋" w:eastAsia="仿宋" w:cs="Times New Roman"/>
          <w:color w:val="000000"/>
          <w:sz w:val="24"/>
          <w:szCs w:val="24"/>
          <w:lang w:val="en-US"/>
        </w:rPr>
        <w:t>客户必须提供办理服务所需材料，如因材料不足或材料提供不及时耽误了办理进度，所产生的额外费用则由客户承担。</w:t>
      </w:r>
    </w:p>
    <w:p w14:paraId="45545A87">
      <w:pPr>
        <w:pStyle w:val="37"/>
        <w:numPr>
          <w:ilvl w:val="0"/>
          <w:numId w:val="3"/>
        </w:numPr>
        <w:spacing w:after="0" w:line="259" w:lineRule="auto"/>
        <w:rPr>
          <w:rFonts w:hint="eastAsia" w:ascii="仿宋" w:hAnsi="仿宋" w:eastAsia="仿宋" w:cs="仿宋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办理起止时间计算：公司注册办理时间为客户签字公司章程草稿后开始算起的时间；工作签办理时间以所需文件收集完全后开始算起，法定节假日及办证政府机构休息日不算入办理时间。</w:t>
      </w:r>
    </w:p>
    <w:p w14:paraId="5021CC47">
      <w:pPr>
        <w:numPr>
          <w:ilvl w:val="0"/>
          <w:numId w:val="3"/>
        </w:numPr>
        <w:spacing w:after="0" w:line="240" w:lineRule="auto"/>
        <w:rPr>
          <w:rFonts w:hint="eastAsia" w:ascii="仿宋" w:hAnsi="仿宋" w:eastAsia="仿宋" w:cs="Times New Roman"/>
          <w:color w:val="000000"/>
          <w:sz w:val="24"/>
          <w:szCs w:val="24"/>
          <w:lang w:val="en-US"/>
        </w:rPr>
      </w:pPr>
      <w:r>
        <w:rPr>
          <w:rFonts w:ascii="仿宋" w:hAnsi="仿宋" w:eastAsia="仿宋" w:cs="Times New Roman"/>
          <w:color w:val="000000"/>
          <w:sz w:val="24"/>
          <w:szCs w:val="24"/>
          <w:lang w:val="en-US"/>
        </w:rPr>
        <w:t>所有款项汇到指定的银行账户，银行账户信息如下 :</w:t>
      </w:r>
    </w:p>
    <w:p w14:paraId="5542536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firstLine="0"/>
        <w:jc w:val="left"/>
        <w:rPr>
          <w:b/>
          <w:bCs/>
          <w:lang w:val="ms"/>
        </w:rPr>
      </w:pPr>
      <w:r>
        <w:rPr>
          <w:rFonts w:hint="eastAsia"/>
          <w:b/>
          <w:bCs/>
          <w:lang w:val="ms"/>
        </w:rPr>
        <w:t>银行名称：</w:t>
      </w:r>
      <w:r>
        <w:rPr>
          <w:b/>
          <w:bCs/>
          <w:lang w:val="ms"/>
        </w:rPr>
        <w:t>BCA (KCP CENTRAL PARK)</w:t>
      </w:r>
    </w:p>
    <w:p w14:paraId="57AA6D2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firstLine="0"/>
        <w:jc w:val="left"/>
        <w:rPr>
          <w:b/>
          <w:bCs/>
          <w:lang w:val="ms"/>
        </w:rPr>
      </w:pPr>
      <w:r>
        <w:rPr>
          <w:rFonts w:hint="eastAsia"/>
          <w:b/>
          <w:bCs/>
          <w:lang w:val="ms"/>
        </w:rPr>
        <w:t>账号名称：</w:t>
      </w:r>
      <w:r>
        <w:rPr>
          <w:b/>
          <w:bCs/>
          <w:lang w:val="ms"/>
        </w:rPr>
        <w:t>PT. SHAN HAI MAP</w:t>
      </w:r>
    </w:p>
    <w:p w14:paraId="1DEF0F1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firstLine="0"/>
        <w:jc w:val="left"/>
        <w:rPr>
          <w:b/>
          <w:bCs/>
          <w:lang w:val="ms"/>
        </w:rPr>
      </w:pPr>
      <w:r>
        <w:rPr>
          <w:rFonts w:hint="eastAsia"/>
          <w:b/>
          <w:bCs/>
          <w:lang w:val="ms"/>
        </w:rPr>
        <w:t>银行账号：</w:t>
      </w:r>
      <w:r>
        <w:rPr>
          <w:b/>
          <w:bCs/>
          <w:lang w:val="ms"/>
        </w:rPr>
        <w:t>5485225789</w:t>
      </w:r>
    </w:p>
    <w:p w14:paraId="297057A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firstLine="0"/>
        <w:jc w:val="left"/>
        <w:rPr>
          <w:b/>
          <w:bCs/>
          <w:lang w:val="ms"/>
        </w:rPr>
      </w:pPr>
      <w:r>
        <w:rPr>
          <w:rFonts w:hint="eastAsia"/>
          <w:b/>
          <w:bCs/>
          <w:lang w:val="ms"/>
        </w:rPr>
        <w:t>国际银行代码：</w:t>
      </w:r>
      <w:r>
        <w:rPr>
          <w:b/>
          <w:bCs/>
          <w:lang w:val="ms"/>
        </w:rPr>
        <w:t>CENAIDJA</w:t>
      </w:r>
    </w:p>
    <w:p w14:paraId="7E18788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firstLine="0"/>
        <w:jc w:val="left"/>
        <w:rPr>
          <w:b/>
          <w:bCs/>
          <w:lang w:val="ms"/>
        </w:rPr>
      </w:pPr>
      <w:r>
        <w:rPr>
          <w:rFonts w:hint="eastAsia"/>
          <w:b/>
          <w:bCs/>
          <w:lang w:val="ms"/>
        </w:rPr>
        <w:t>分行名称：</w:t>
      </w:r>
      <w:r>
        <w:rPr>
          <w:b/>
          <w:bCs/>
          <w:lang w:val="ms"/>
        </w:rPr>
        <w:t>KCP CENTRAL PARK, Jl. Letjen S. Parman Komp. Podomoro, RT. 9/RW 5, Tj. Duren Selatan, Grogol Petamburan, Kota Jakarta Barat, DKI Jakarta, 11470.</w:t>
      </w:r>
    </w:p>
    <w:p w14:paraId="7BAEEBB9">
      <w:pPr>
        <w:pStyle w:val="37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0"/>
        <w:jc w:val="both"/>
        <w:rPr>
          <w:rFonts w:hint="eastAsia" w:ascii="仿宋" w:hAnsi="仿宋" w:eastAsia="仿宋" w:cs="Times New Roman"/>
          <w:color w:val="000000"/>
          <w:sz w:val="24"/>
          <w:szCs w:val="24"/>
          <w:lang w:val="en-US"/>
        </w:rPr>
      </w:pPr>
      <w:r>
        <w:rPr>
          <w:rFonts w:ascii="仿宋" w:hAnsi="仿宋" w:eastAsia="仿宋" w:cs="Times New Roman"/>
          <w:color w:val="000000"/>
          <w:sz w:val="24"/>
          <w:szCs w:val="24"/>
          <w:lang w:val="en-US"/>
        </w:rPr>
        <w:t>山海图应对客户提供的纸板或电子版的证件、资料负有妥善保管和保密义务，不得将上述秘密泄露给任何第三方或用于其他用途。</w:t>
      </w:r>
    </w:p>
    <w:p w14:paraId="0096078E">
      <w:pPr>
        <w:numPr>
          <w:ilvl w:val="0"/>
          <w:numId w:val="3"/>
        </w:numPr>
        <w:spacing w:after="0" w:line="240" w:lineRule="auto"/>
        <w:rPr>
          <w:rFonts w:hint="eastAsia" w:ascii="仿宋" w:hAnsi="仿宋" w:eastAsia="仿宋" w:cs="Times New Roman"/>
          <w:color w:val="000000"/>
          <w:sz w:val="24"/>
          <w:szCs w:val="24"/>
          <w:lang w:val="en-US"/>
        </w:rPr>
      </w:pPr>
      <w:r>
        <w:rPr>
          <w:rFonts w:ascii="仿宋" w:hAnsi="仿宋" w:eastAsia="仿宋" w:cs="Times New Roman"/>
          <w:b/>
          <w:bCs/>
          <w:color w:val="000000"/>
          <w:sz w:val="24"/>
          <w:szCs w:val="24"/>
          <w:lang w:val="en-US"/>
        </w:rPr>
        <w:t>此报价从报价日起生效30天</w:t>
      </w:r>
      <w:r>
        <w:rPr>
          <w:rFonts w:ascii="仿宋" w:hAnsi="仿宋" w:eastAsia="仿宋" w:cs="Times New Roman"/>
          <w:color w:val="000000"/>
          <w:sz w:val="24"/>
          <w:szCs w:val="24"/>
          <w:lang w:val="en-US"/>
        </w:rPr>
        <w:t>。</w:t>
      </w:r>
    </w:p>
    <w:p w14:paraId="16AC8311">
      <w:pPr>
        <w:spacing w:after="80" w:line="240" w:lineRule="auto"/>
        <w:rPr>
          <w:rFonts w:hint="eastAsia" w:ascii="仿宋" w:hAnsi="仿宋" w:eastAsia="仿宋" w:cs="Times New Roman"/>
          <w:color w:val="000000"/>
          <w:sz w:val="24"/>
          <w:szCs w:val="24"/>
          <w:lang w:val="en-US"/>
        </w:rPr>
      </w:pPr>
    </w:p>
    <w:p w14:paraId="1D331F50">
      <w:pPr>
        <w:spacing w:after="80" w:line="240" w:lineRule="auto"/>
        <w:rPr>
          <w:rFonts w:hint="eastAsia" w:ascii="仿宋" w:hAnsi="仿宋" w:eastAsia="仿宋" w:cs="Times New Roman"/>
          <w:color w:val="000000"/>
          <w:sz w:val="24"/>
          <w:szCs w:val="24"/>
          <w:lang w:val="en-US"/>
        </w:rPr>
      </w:pPr>
      <w:r>
        <w:rPr>
          <w:rFonts w:ascii="仿宋" w:hAnsi="仿宋" w:eastAsia="仿宋" w:cs="Times New Roman"/>
          <w:color w:val="000000"/>
          <w:sz w:val="24"/>
          <w:szCs w:val="24"/>
          <w:lang w:val="en-US"/>
        </w:rPr>
        <w:t>如有问题，欢迎再询，我们期待着为您服务。</w:t>
      </w:r>
    </w:p>
    <w:p w14:paraId="4D450E10">
      <w:pPr>
        <w:spacing w:after="0" w:line="240" w:lineRule="auto"/>
        <w:rPr>
          <w:rFonts w:hint="eastAsia" w:ascii="仿宋" w:hAnsi="仿宋" w:eastAsia="仿宋" w:cs="Times New Roman"/>
          <w:b/>
          <w:sz w:val="24"/>
          <w:szCs w:val="24"/>
          <w:lang w:val="en-US"/>
        </w:rPr>
      </w:pPr>
      <w:r>
        <w:rPr>
          <w:rFonts w:ascii="仿宋" w:hAnsi="仿宋" w:eastAsia="仿宋" w:cs="Times New Roman"/>
          <w:b/>
          <w:sz w:val="24"/>
          <w:szCs w:val="24"/>
          <w:lang w:val="en-US"/>
        </w:rPr>
        <w:t>报价人</w:t>
      </w:r>
      <w:r>
        <w:rPr>
          <w:rFonts w:hint="eastAsia" w:ascii="仿宋" w:hAnsi="仿宋" w:eastAsia="仿宋" w:cs="Times New Roman"/>
          <w:b/>
          <w:sz w:val="24"/>
          <w:szCs w:val="24"/>
          <w:lang w:val="en-US"/>
        </w:rPr>
        <w:t xml:space="preserve">：          </w:t>
      </w:r>
      <w:r>
        <w:rPr>
          <w:rFonts w:hint="eastAsia" w:ascii="仿宋" w:hAnsi="仿宋" w:eastAsia="仿宋" w:cs="Times New Roman"/>
          <w:b/>
          <w:sz w:val="24"/>
          <w:szCs w:val="24"/>
          <w:lang w:val="en-US" w:eastAsia="zh-CN"/>
        </w:rPr>
        <w:t xml:space="preserve">         </w:t>
      </w:r>
      <w:r>
        <w:rPr>
          <w:rFonts w:hint="eastAsia" w:ascii="仿宋" w:hAnsi="仿宋" w:eastAsia="仿宋" w:cs="Times New Roman"/>
          <w:b/>
          <w:sz w:val="24"/>
          <w:szCs w:val="24"/>
          <w:lang w:val="en-US"/>
        </w:rPr>
        <w:t xml:space="preserve">     </w:t>
      </w:r>
      <w:r>
        <w:rPr>
          <w:rFonts w:ascii="仿宋" w:hAnsi="仿宋" w:eastAsia="仿宋" w:cs="Times New Roman"/>
          <w:b/>
          <w:sz w:val="24"/>
          <w:szCs w:val="24"/>
          <w:lang w:val="en-US"/>
        </w:rPr>
        <w:t>同意报价人</w:t>
      </w:r>
      <w:r>
        <w:rPr>
          <w:rFonts w:hint="eastAsia" w:ascii="仿宋" w:hAnsi="仿宋" w:eastAsia="仿宋" w:cs="Times New Roman"/>
          <w:b/>
          <w:sz w:val="24"/>
          <w:szCs w:val="24"/>
          <w:lang w:val="en-US"/>
        </w:rPr>
        <w:t>：</w:t>
      </w:r>
    </w:p>
    <w:p w14:paraId="6D395905">
      <w:pPr>
        <w:spacing w:after="0" w:line="240" w:lineRule="auto"/>
        <w:rPr>
          <w:rFonts w:hint="eastAsia" w:ascii="仿宋" w:hAnsi="仿宋" w:eastAsia="仿宋" w:cs="Times New Roman"/>
          <w:b/>
          <w:sz w:val="24"/>
          <w:szCs w:val="24"/>
          <w:lang w:val="en-US" w:eastAsia="zh-CN"/>
        </w:rPr>
      </w:pPr>
    </w:p>
    <w:p w14:paraId="4C191385">
      <w:pPr>
        <w:spacing w:after="0" w:line="240" w:lineRule="auto"/>
        <w:rPr>
          <w:rFonts w:hint="default" w:ascii="仿宋" w:hAnsi="仿宋" w:eastAsia="仿宋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仿宋" w:hAnsi="仿宋" w:eastAsia="仿宋" w:cs="Times New Roman"/>
          <w:b/>
          <w:bCs/>
          <w:sz w:val="24"/>
          <w:szCs w:val="24"/>
          <w:lang w:val="en-US" w:eastAsia="zh-CN"/>
        </w:rPr>
        <w:t>PT SHAN HAI MAP</w:t>
      </w:r>
    </w:p>
    <w:sectPr>
      <w:headerReference r:id="rId5" w:type="default"/>
      <w:footerReference r:id="rId6" w:type="default"/>
      <w:pgSz w:w="11906" w:h="16838"/>
      <w:pgMar w:top="1163" w:right="1133" w:bottom="1155" w:left="1440" w:header="709" w:footer="48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altName w:val="仿宋-简"/>
    <w:panose1 w:val="02000000000000000000"/>
    <w:charset w:val="86"/>
    <w:family w:val="auto"/>
    <w:pitch w:val="default"/>
    <w:sig w:usb0="00000000" w:usb1="00000000" w:usb2="00082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774386">
    <w:pPr>
      <w:pStyle w:val="44"/>
      <w:jc w:val="center"/>
      <w:rPr>
        <w:b/>
        <w:bCs/>
        <w:color w:val="1F497D"/>
      </w:rPr>
    </w:pPr>
    <w:r>
      <w:rPr>
        <w:rFonts w:hint="eastAsia" w:ascii="微软雅黑" w:hAnsi="微软雅黑" w:eastAsia="微软雅黑"/>
        <w:b/>
        <w:bCs/>
        <w:color w:val="1F497D"/>
      </w:rPr>
      <w:t>出海就找山海图！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16ACD6">
    <w:pPr>
      <w:pStyle w:val="13"/>
      <w:tabs>
        <w:tab w:val="center" w:pos="4513"/>
        <w:tab w:val="right" w:pos="9026"/>
        <w:tab w:val="clear" w:pos="4153"/>
        <w:tab w:val="clear" w:pos="830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inline distT="0" distB="0" distL="114300" distR="114300">
          <wp:extent cx="5925185" cy="964565"/>
          <wp:effectExtent l="0" t="0" r="18415" b="635"/>
          <wp:docPr id="1" name="图片 1" descr="【LETTERHEAD】 SHANHAIMA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【LETTERHEAD】 SHANHAIMAP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5185" cy="9645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B7C6897"/>
    <w:multiLevelType w:val="multilevel"/>
    <w:tmpl w:val="5B7C6897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676603B5"/>
    <w:multiLevelType w:val="multilevel"/>
    <w:tmpl w:val="676603B5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zk4MDAxNWM3ZTJkN2RiMWFhMTVjZTI0MGM3Y2UyZjcifQ=="/>
  </w:docVars>
  <w:rsids>
    <w:rsidRoot w:val="00A94003"/>
    <w:rsid w:val="000077A6"/>
    <w:rsid w:val="00024ACA"/>
    <w:rsid w:val="00044E4F"/>
    <w:rsid w:val="000717A9"/>
    <w:rsid w:val="00081848"/>
    <w:rsid w:val="00087A46"/>
    <w:rsid w:val="000F580F"/>
    <w:rsid w:val="00122FC6"/>
    <w:rsid w:val="0014547C"/>
    <w:rsid w:val="00166A01"/>
    <w:rsid w:val="001673A3"/>
    <w:rsid w:val="001871A8"/>
    <w:rsid w:val="001D0758"/>
    <w:rsid w:val="001D4696"/>
    <w:rsid w:val="001D7CD1"/>
    <w:rsid w:val="001F33BD"/>
    <w:rsid w:val="001F72A0"/>
    <w:rsid w:val="00245702"/>
    <w:rsid w:val="002770AE"/>
    <w:rsid w:val="002872F3"/>
    <w:rsid w:val="002C7938"/>
    <w:rsid w:val="002D4D1B"/>
    <w:rsid w:val="002F490C"/>
    <w:rsid w:val="0030492E"/>
    <w:rsid w:val="00310DB4"/>
    <w:rsid w:val="0031464A"/>
    <w:rsid w:val="0034196C"/>
    <w:rsid w:val="00350776"/>
    <w:rsid w:val="0035350A"/>
    <w:rsid w:val="003550ED"/>
    <w:rsid w:val="00356E16"/>
    <w:rsid w:val="00383139"/>
    <w:rsid w:val="003E1D76"/>
    <w:rsid w:val="003E3528"/>
    <w:rsid w:val="004067EB"/>
    <w:rsid w:val="0042498C"/>
    <w:rsid w:val="00430317"/>
    <w:rsid w:val="00437027"/>
    <w:rsid w:val="004902D9"/>
    <w:rsid w:val="004B14EE"/>
    <w:rsid w:val="004C4C49"/>
    <w:rsid w:val="00505432"/>
    <w:rsid w:val="005161E7"/>
    <w:rsid w:val="005166D5"/>
    <w:rsid w:val="00552EAA"/>
    <w:rsid w:val="00557762"/>
    <w:rsid w:val="00564522"/>
    <w:rsid w:val="00582DB1"/>
    <w:rsid w:val="005A7992"/>
    <w:rsid w:val="005C042C"/>
    <w:rsid w:val="005C1177"/>
    <w:rsid w:val="005E080C"/>
    <w:rsid w:val="006028A0"/>
    <w:rsid w:val="00612064"/>
    <w:rsid w:val="00613D6B"/>
    <w:rsid w:val="00656D52"/>
    <w:rsid w:val="006706F4"/>
    <w:rsid w:val="006E3F66"/>
    <w:rsid w:val="006E5F71"/>
    <w:rsid w:val="00720BBD"/>
    <w:rsid w:val="007257A4"/>
    <w:rsid w:val="00742FF6"/>
    <w:rsid w:val="00755C3C"/>
    <w:rsid w:val="00767A78"/>
    <w:rsid w:val="0077531E"/>
    <w:rsid w:val="0080483E"/>
    <w:rsid w:val="00832905"/>
    <w:rsid w:val="00834820"/>
    <w:rsid w:val="008769F8"/>
    <w:rsid w:val="00883122"/>
    <w:rsid w:val="008863AC"/>
    <w:rsid w:val="008C7760"/>
    <w:rsid w:val="008D76C1"/>
    <w:rsid w:val="008E0D2F"/>
    <w:rsid w:val="00907B3F"/>
    <w:rsid w:val="009414CC"/>
    <w:rsid w:val="009726FC"/>
    <w:rsid w:val="009857B2"/>
    <w:rsid w:val="009B3C47"/>
    <w:rsid w:val="009D2121"/>
    <w:rsid w:val="00A2000C"/>
    <w:rsid w:val="00A30D60"/>
    <w:rsid w:val="00A54BD4"/>
    <w:rsid w:val="00A63FE2"/>
    <w:rsid w:val="00A94003"/>
    <w:rsid w:val="00AE0E10"/>
    <w:rsid w:val="00AE7997"/>
    <w:rsid w:val="00B0279C"/>
    <w:rsid w:val="00B345B5"/>
    <w:rsid w:val="00B50873"/>
    <w:rsid w:val="00BD3EB2"/>
    <w:rsid w:val="00BE0E81"/>
    <w:rsid w:val="00C00772"/>
    <w:rsid w:val="00C00774"/>
    <w:rsid w:val="00CF4161"/>
    <w:rsid w:val="00CF7643"/>
    <w:rsid w:val="00D268A2"/>
    <w:rsid w:val="00D319F3"/>
    <w:rsid w:val="00D62EC4"/>
    <w:rsid w:val="00D70714"/>
    <w:rsid w:val="00D80639"/>
    <w:rsid w:val="00DB1BBE"/>
    <w:rsid w:val="00DD3710"/>
    <w:rsid w:val="00DE25A0"/>
    <w:rsid w:val="00DE49A1"/>
    <w:rsid w:val="00DF0339"/>
    <w:rsid w:val="00E017F2"/>
    <w:rsid w:val="00E208A2"/>
    <w:rsid w:val="00E50447"/>
    <w:rsid w:val="00E70100"/>
    <w:rsid w:val="00E80AD8"/>
    <w:rsid w:val="00E83A8F"/>
    <w:rsid w:val="00F3206E"/>
    <w:rsid w:val="00F8031A"/>
    <w:rsid w:val="00F93FBA"/>
    <w:rsid w:val="00FA1E7B"/>
    <w:rsid w:val="00FA3FBC"/>
    <w:rsid w:val="00FB3B0C"/>
    <w:rsid w:val="00FD38B4"/>
    <w:rsid w:val="00FD7AC1"/>
    <w:rsid w:val="08D71613"/>
    <w:rsid w:val="0D8F3EB6"/>
    <w:rsid w:val="0EED2119"/>
    <w:rsid w:val="0F0463E6"/>
    <w:rsid w:val="0FE64614"/>
    <w:rsid w:val="11EC128E"/>
    <w:rsid w:val="12AF294B"/>
    <w:rsid w:val="176053FF"/>
    <w:rsid w:val="1DC36EC7"/>
    <w:rsid w:val="1EAB7B99"/>
    <w:rsid w:val="1EB61656"/>
    <w:rsid w:val="24030E99"/>
    <w:rsid w:val="248720BC"/>
    <w:rsid w:val="25F16914"/>
    <w:rsid w:val="26134A33"/>
    <w:rsid w:val="2642730B"/>
    <w:rsid w:val="26D5121D"/>
    <w:rsid w:val="27A67392"/>
    <w:rsid w:val="28DC7996"/>
    <w:rsid w:val="2D684463"/>
    <w:rsid w:val="2D7F21E4"/>
    <w:rsid w:val="322E468E"/>
    <w:rsid w:val="33F14847"/>
    <w:rsid w:val="349C708F"/>
    <w:rsid w:val="34B22BF7"/>
    <w:rsid w:val="37612EC1"/>
    <w:rsid w:val="37AD3552"/>
    <w:rsid w:val="389F4A2A"/>
    <w:rsid w:val="39BB625B"/>
    <w:rsid w:val="39E84034"/>
    <w:rsid w:val="3BE05531"/>
    <w:rsid w:val="3DAC3EF8"/>
    <w:rsid w:val="3E660F5E"/>
    <w:rsid w:val="430322CA"/>
    <w:rsid w:val="45C50B81"/>
    <w:rsid w:val="48281CEE"/>
    <w:rsid w:val="48EB1D78"/>
    <w:rsid w:val="4A57247B"/>
    <w:rsid w:val="4CF62711"/>
    <w:rsid w:val="4D333CEE"/>
    <w:rsid w:val="501858F6"/>
    <w:rsid w:val="50A71280"/>
    <w:rsid w:val="555A2F61"/>
    <w:rsid w:val="559248AA"/>
    <w:rsid w:val="56014F45"/>
    <w:rsid w:val="58115568"/>
    <w:rsid w:val="5AC50699"/>
    <w:rsid w:val="5E2C27BF"/>
    <w:rsid w:val="62601294"/>
    <w:rsid w:val="627E5F0D"/>
    <w:rsid w:val="63513E80"/>
    <w:rsid w:val="64313C40"/>
    <w:rsid w:val="666205A3"/>
    <w:rsid w:val="698E3250"/>
    <w:rsid w:val="699650D5"/>
    <w:rsid w:val="6EEA0A62"/>
    <w:rsid w:val="70CD5A8C"/>
    <w:rsid w:val="72C214EC"/>
    <w:rsid w:val="78A83DBD"/>
    <w:rsid w:val="79471C04"/>
    <w:rsid w:val="7CA13F21"/>
    <w:rsid w:val="7E762116"/>
    <w:rsid w:val="7F7F6CAA"/>
    <w:rsid w:val="D7B6D409"/>
    <w:rsid w:val="E7BBE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48"/>
    <w:semiHidden/>
    <w:unhideWhenUsed/>
    <w:qFormat/>
    <w:uiPriority w:val="99"/>
  </w:style>
  <w:style w:type="paragraph" w:styleId="12">
    <w:name w:val="footer"/>
    <w:basedOn w:val="1"/>
    <w:link w:val="43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link w:val="42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Subtitle"/>
    <w:basedOn w:val="1"/>
    <w:next w:val="1"/>
    <w:link w:val="34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paragraph" w:styleId="16">
    <w:name w:val="Title"/>
    <w:basedOn w:val="1"/>
    <w:next w:val="1"/>
    <w:link w:val="33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annotation subject"/>
    <w:basedOn w:val="11"/>
    <w:next w:val="11"/>
    <w:link w:val="49"/>
    <w:semiHidden/>
    <w:unhideWhenUsed/>
    <w:qFormat/>
    <w:uiPriority w:val="99"/>
    <w:rPr>
      <w:b/>
      <w:bCs/>
    </w:rPr>
  </w:style>
  <w:style w:type="table" w:styleId="19">
    <w:name w:val="Table Grid"/>
    <w:basedOn w:val="18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Strong"/>
    <w:basedOn w:val="20"/>
    <w:qFormat/>
    <w:uiPriority w:val="22"/>
    <w:rPr>
      <w:b/>
      <w:bCs/>
    </w:rPr>
  </w:style>
  <w:style w:type="character" w:styleId="22">
    <w:name w:val="Hyperlink"/>
    <w:basedOn w:val="20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3">
    <w:name w:val="annotation reference"/>
    <w:basedOn w:val="20"/>
    <w:semiHidden/>
    <w:unhideWhenUsed/>
    <w:qFormat/>
    <w:uiPriority w:val="99"/>
    <w:rPr>
      <w:sz w:val="21"/>
      <w:szCs w:val="21"/>
    </w:rPr>
  </w:style>
  <w:style w:type="character" w:customStyle="1" w:styleId="24">
    <w:name w:val="标题 1 字符"/>
    <w:basedOn w:val="20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5">
    <w:name w:val="标题 2 字符"/>
    <w:basedOn w:val="20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标题 3 字符"/>
    <w:basedOn w:val="20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标题 4 字符"/>
    <w:basedOn w:val="20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8">
    <w:name w:val="标题 5 字符"/>
    <w:basedOn w:val="20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9">
    <w:name w:val="标题 6 字符"/>
    <w:basedOn w:val="20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30">
    <w:name w:val="标题 7 字符"/>
    <w:basedOn w:val="20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8 字符"/>
    <w:basedOn w:val="20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标题 9 字符"/>
    <w:basedOn w:val="20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3">
    <w:name w:val="标题 字符"/>
    <w:basedOn w:val="20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副标题 字符"/>
    <w:basedOn w:val="20"/>
    <w:link w:val="14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引用 字符"/>
    <w:basedOn w:val="20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link w:val="45"/>
    <w:qFormat/>
    <w:uiPriority w:val="34"/>
    <w:pPr>
      <w:ind w:left="720"/>
      <w:contextualSpacing/>
    </w:pPr>
  </w:style>
  <w:style w:type="character" w:customStyle="1" w:styleId="38">
    <w:name w:val="明显强调1"/>
    <w:basedOn w:val="20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明显引用 字符"/>
    <w:basedOn w:val="20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明显参考1"/>
    <w:basedOn w:val="20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2">
    <w:name w:val="页眉 字符"/>
    <w:basedOn w:val="20"/>
    <w:link w:val="13"/>
    <w:qFormat/>
    <w:uiPriority w:val="99"/>
    <w:rPr>
      <w:sz w:val="18"/>
      <w:szCs w:val="18"/>
    </w:rPr>
  </w:style>
  <w:style w:type="character" w:customStyle="1" w:styleId="43">
    <w:name w:val="页脚 字符"/>
    <w:basedOn w:val="20"/>
    <w:link w:val="12"/>
    <w:qFormat/>
    <w:uiPriority w:val="99"/>
    <w:rPr>
      <w:sz w:val="18"/>
      <w:szCs w:val="18"/>
    </w:rPr>
  </w:style>
  <w:style w:type="paragraph" w:customStyle="1" w:styleId="44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character" w:customStyle="1" w:styleId="45">
    <w:name w:val="列表段落 字符"/>
    <w:link w:val="37"/>
    <w:qFormat/>
    <w:uiPriority w:val="34"/>
  </w:style>
  <w:style w:type="character" w:customStyle="1" w:styleId="46">
    <w:name w:val="未处理的提及1"/>
    <w:basedOn w:val="20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47">
    <w:name w:val="Table Normal"/>
    <w:autoRedefine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8">
    <w:name w:val="批注文字 字符"/>
    <w:basedOn w:val="20"/>
    <w:link w:val="11"/>
    <w:semiHidden/>
    <w:qFormat/>
    <w:uiPriority w:val="99"/>
    <w:rPr>
      <w:kern w:val="0"/>
      <w:sz w:val="22"/>
      <w:lang w:val="id-ID"/>
    </w:rPr>
  </w:style>
  <w:style w:type="character" w:customStyle="1" w:styleId="49">
    <w:name w:val="批注主题 字符"/>
    <w:basedOn w:val="48"/>
    <w:link w:val="17"/>
    <w:semiHidden/>
    <w:qFormat/>
    <w:uiPriority w:val="99"/>
    <w:rPr>
      <w:b/>
      <w:bCs/>
      <w:kern w:val="0"/>
      <w:sz w:val="22"/>
      <w:lang w:val="id-ID"/>
    </w:rPr>
  </w:style>
  <w:style w:type="paragraph" w:customStyle="1" w:styleId="50">
    <w:name w:val="修订1"/>
    <w:hidden/>
    <w:semiHidden/>
    <w:qFormat/>
    <w:uiPriority w:val="99"/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51">
    <w:name w:val="Table Text"/>
    <w:basedOn w:val="1"/>
    <w:semiHidden/>
    <w:qFormat/>
    <w:uiPriority w:val="0"/>
    <w:pPr>
      <w:kinsoku w:val="0"/>
      <w:autoSpaceDE w:val="0"/>
      <w:autoSpaceDN w:val="0"/>
      <w:adjustRightInd w:val="0"/>
      <w:snapToGrid w:val="0"/>
      <w:spacing w:after="160" w:line="240" w:lineRule="auto"/>
      <w:textAlignment w:val="baseline"/>
    </w:pPr>
    <w:rPr>
      <w:rFonts w:ascii="仿宋" w:hAnsi="仿宋" w:eastAsia="仿宋" w:cs="仿宋"/>
      <w:snapToGrid w:val="0"/>
      <w:color w:val="000000"/>
      <w:sz w:val="24"/>
      <w:szCs w:val="24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1444</Words>
  <Characters>1785</Characters>
  <Lines>41</Lines>
  <Paragraphs>11</Paragraphs>
  <TotalTime>6</TotalTime>
  <ScaleCrop>false</ScaleCrop>
  <LinksUpToDate>false</LinksUpToDate>
  <CharactersWithSpaces>1968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2024-10-06T20:40:00Z</dcterms:created>
  <dc:creator>Guo, Shijie</dc:creator>
  <cp:lastModifiedBy>【祈祷】</cp:lastModifiedBy>
  <dcterms:modified xsi:type="dcterms:W3CDTF">2026-06-12T15:56:43Z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53555DEE637743E99670E1CC2EB08C78_13</vt:lpwstr>
  </property>
  <property fmtid="{D5CDD505-2E9C-101B-9397-08002B2CF9AE}" pid="4" name="KSOTemplateDocerSaveRecord">
    <vt:lpwstr>eyJoZGlkIjoiNzk4MDAxNWM3ZTJkN2RiMWFhMTVjZTI0MGM3Y2UyZjciLCJ1c2VySWQiOiIyNTgwMTY1MDYifQ==</vt:lpwstr>
  </property>
</Properties>
</file>