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 xml:space="preserve">公司名称    ：PT SHT INTERNATIONAL 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  <w:bookmarkStart w:id="0" w:name="_GoBack"/>
      <w:bookmarkEnd w:id="0"/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：SHM/V/2026/S999</w:t>
      </w:r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印尼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人力资源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服务方案</w:t>
      </w:r>
    </w:p>
    <w:p w14:paraId="4C952861">
      <w:pPr>
        <w:pStyle w:val="25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695"/>
        <w:gridCol w:w="1847"/>
        <w:gridCol w:w="4347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69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47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印尼盾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347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起草或审核公司人事规章制度服务</w:t>
            </w:r>
          </w:p>
        </w:tc>
        <w:tc>
          <w:tcPr>
            <w:tcW w:w="69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47" w:type="dxa"/>
            <w:vAlign w:val="center"/>
          </w:tcPr>
          <w:p w14:paraId="126685D0">
            <w:pPr>
              <w:spacing w:after="0"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0,00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347" w:type="dxa"/>
            <w:vAlign w:val="center"/>
          </w:tcPr>
          <w:p w14:paraId="022833A4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公司成立后只要员工人数超过 10 个人，公司必须持有公司人事规章制度并且向劳动局进行备案。基于 2003 年第 13 号劳动法第 108 款，结合 2020 年第 11 号创造就业法第 188 条款，公司员工人数达到 10 个人以上但未有公司人事规章制度并未向劳动局备案，将处以最高罚款金额为 Rp50,000,000（五千万印尼盾）。公司人事规章制度的内容其中需包含：工作指南和程序、员工权益和义务、员工离职的赔偿计算基准等。每两年需要更新公司人事规章制度并到当地劳动局进行备案。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更新和申报劳工部系统</w:t>
            </w:r>
          </w:p>
        </w:tc>
        <w:tc>
          <w:tcPr>
            <w:tcW w:w="69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47" w:type="dxa"/>
            <w:vAlign w:val="center"/>
          </w:tcPr>
          <w:p w14:paraId="3AB47D61">
            <w:pPr>
              <w:spacing w:after="0"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3,000,000</w:t>
            </w:r>
          </w:p>
        </w:tc>
        <w:tc>
          <w:tcPr>
            <w:tcW w:w="4347" w:type="dxa"/>
            <w:vAlign w:val="center"/>
          </w:tcPr>
          <w:p w14:paraId="393ABE5E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进行劳工部登记是作为公司实施员工福利计划的指标。在劳工部登记被批准之前，有关员工福利计划的要求必须完成（公司是否已在社保和医保中注册）。公司每年需要按时在劳工部系统上更新和申报员工信息。公司有义务在劳工部系统更新并申报员工数据，无论员工是仍在职、刚入职，还是已经离职。如果公司未按时在劳工部系统中将其员工登记或更新信息，公司将被处以 Rp1,000,000 的罚款，或面临 3 个月的监禁。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起草或审核劳动合同服务</w:t>
            </w:r>
          </w:p>
        </w:tc>
        <w:tc>
          <w:tcPr>
            <w:tcW w:w="69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47" w:type="dxa"/>
            <w:vAlign w:val="center"/>
          </w:tcPr>
          <w:p w14:paraId="6D2B5C33">
            <w:pPr>
              <w:spacing w:after="0"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</w:rPr>
              <w:t>1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2</w:t>
            </w:r>
            <w:r>
              <w:rPr>
                <w:rFonts w:hint="eastAsia" w:ascii="仿宋" w:hAnsi="仿宋" w:eastAsia="仿宋" w:cs="仿宋"/>
                <w:sz w:val="20"/>
                <w:szCs w:val="20"/>
              </w:rPr>
              <w:t>,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000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347" w:type="dxa"/>
            <w:vAlign w:val="center"/>
          </w:tcPr>
          <w:p w14:paraId="328227FF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印尼的劳动合同分为两种，即 PKWT 固定期工作协议和 PKWTT 无限期工作协议。根据印尼相关法律的规定，有效的劳动合同必须为印尼文版本，其他语言作为辅助参考。在格式和条款方面，也需要按照印尼的法律规定来进行书写。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  （2）API-P 制造商进口许可</w:t>
            </w:r>
          </w:p>
          <w:p w14:paraId="61DFDF48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         仅提供给用于生产用途而进口原材料或支持生产过程材料的公司。</w:t>
            </w:r>
          </w:p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</w:p>
        </w:tc>
      </w:tr>
      <w:tr w14:paraId="2E0B6C37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94" w:type="dxa"/>
            <w:gridSpan w:val="2"/>
            <w:vAlign w:val="center"/>
          </w:tcPr>
          <w:p w14:paraId="3E286084">
            <w:pPr>
              <w:spacing w:line="24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65,000,000</w:t>
            </w:r>
          </w:p>
        </w:tc>
      </w:tr>
      <w:tr w14:paraId="6F26F530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优惠价格</w:t>
            </w:r>
          </w:p>
        </w:tc>
        <w:tc>
          <w:tcPr>
            <w:tcW w:w="6194" w:type="dxa"/>
            <w:gridSpan w:val="2"/>
            <w:vAlign w:val="center"/>
          </w:tcPr>
          <w:p w14:paraId="42C41DE9">
            <w:pPr>
              <w:spacing w:line="240" w:lineRule="auto"/>
              <w:jc w:val="lef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,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000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,000</w:t>
            </w:r>
          </w:p>
        </w:tc>
      </w:tr>
      <w:tr w14:paraId="0ADFA829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07433FAB">
            <w:pPr>
              <w:wordWrap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增值税 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11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94" w:type="dxa"/>
            <w:gridSpan w:val="2"/>
            <w:vAlign w:val="center"/>
          </w:tcPr>
          <w:p w14:paraId="0244222C">
            <w:pPr>
              <w:spacing w:line="24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66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,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00</w:t>
            </w:r>
          </w:p>
        </w:tc>
      </w:tr>
      <w:tr w14:paraId="15824291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94" w:type="dxa"/>
            <w:gridSpan w:val="2"/>
            <w:vAlign w:val="center"/>
          </w:tcPr>
          <w:p w14:paraId="283F0A7E">
            <w:pPr>
              <w:spacing w:line="240" w:lineRule="auto"/>
              <w:jc w:val="left"/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66,600,000</w:t>
            </w:r>
          </w:p>
        </w:tc>
      </w:tr>
    </w:tbl>
    <w:p w14:paraId="62D007FE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b/>
          <w:bCs/>
          <w:color w:val="FF0000"/>
          <w:lang w:eastAsia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48A56FA3">
      <w:pPr>
        <w:spacing w:after="0" w:line="280" w:lineRule="auto"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以上服务报价不包括：资料快递费（国际）、交通费/差旅费、文件翻译费（如需）</w:t>
      </w:r>
    </w:p>
    <w:p w14:paraId="100083ED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5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交付材料清单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249"/>
        <w:gridCol w:w="872"/>
        <w:gridCol w:w="3679"/>
        <w:gridCol w:w="2671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117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项目</w:t>
            </w:r>
          </w:p>
        </w:tc>
        <w:tc>
          <w:tcPr>
            <w:tcW w:w="433" w:type="pct"/>
            <w:vAlign w:val="center"/>
          </w:tcPr>
          <w:p w14:paraId="47D89B5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时间</w:t>
            </w:r>
          </w:p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工作日</w:t>
            </w:r>
          </w:p>
        </w:tc>
        <w:tc>
          <w:tcPr>
            <w:tcW w:w="1827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117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起草或审核公司人事规章制度服务</w:t>
            </w:r>
          </w:p>
        </w:tc>
        <w:tc>
          <w:tcPr>
            <w:tcW w:w="433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</w:t>
            </w:r>
          </w:p>
        </w:tc>
        <w:tc>
          <w:tcPr>
            <w:tcW w:w="1827" w:type="pct"/>
          </w:tcPr>
          <w:p w14:paraId="327E2D9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5E5ACAF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第二步：起草公司人事规章制度（10 个工作日）</w:t>
            </w:r>
          </w:p>
          <w:p w14:paraId="5FA405C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第三步：交付公司人事规章制度（1 个工作日）</w:t>
            </w:r>
          </w:p>
          <w:p w14:paraId="788A480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第四步：提出反馈（仅限于 5 次修改）（如有）</w:t>
            </w:r>
          </w:p>
          <w:p w14:paraId="1684E3A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第五步：进行修改（3 个工作日）</w:t>
            </w:r>
          </w:p>
          <w:p w14:paraId="1B28C556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第六步：交付公司人事规章制度（1 个工作日）</w:t>
            </w:r>
          </w:p>
        </w:tc>
        <w:tc>
          <w:tcPr>
            <w:tcW w:w="1326" w:type="pct"/>
          </w:tcPr>
          <w:p w14:paraId="6AEB8FF5">
            <w:pPr>
              <w:numPr>
                <w:ilvl w:val="0"/>
                <w:numId w:val="1"/>
              </w:numPr>
              <w:spacing w:after="0" w:line="280" w:lineRule="auto"/>
              <w:ind w:left="283" w:leftChars="0" w:hanging="283" w:firstLineChars="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公司人事规章制度</w:t>
            </w:r>
          </w:p>
          <w:p w14:paraId="750EBD45">
            <w:pPr>
              <w:numPr>
                <w:ilvl w:val="0"/>
                <w:numId w:val="1"/>
              </w:numPr>
              <w:spacing w:after="0" w:line="280" w:lineRule="auto"/>
              <w:ind w:left="283" w:leftChars="0" w:hanging="283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公司人事规章制度备案审批批文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117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</w:rPr>
              <w:t>办公室租赁选址</w:t>
            </w:r>
          </w:p>
        </w:tc>
        <w:tc>
          <w:tcPr>
            <w:tcW w:w="433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id-ID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6</w:t>
            </w:r>
          </w:p>
        </w:tc>
        <w:tc>
          <w:tcPr>
            <w:tcW w:w="1827" w:type="pct"/>
            <w:vAlign w:val="top"/>
          </w:tcPr>
          <w:p w14:paraId="3EB49A6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23550DC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第二步：在劳工部系统上更新员工的信息（5 个工作日）</w:t>
            </w:r>
          </w:p>
          <w:p w14:paraId="40E9A8E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第三步：在劳工部系统上进行申报（1 个工作日）第九步：企业支付租金、物业费等（3 个工作日）</w:t>
            </w:r>
          </w:p>
          <w:p w14:paraId="276B5AC5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第十步：写字楼交接（5个工作日）</w:t>
            </w:r>
          </w:p>
        </w:tc>
        <w:tc>
          <w:tcPr>
            <w:tcW w:w="1326" w:type="pct"/>
          </w:tcPr>
          <w:p w14:paraId="6662E762">
            <w:pPr>
              <w:pStyle w:val="9"/>
              <w:shd w:val="clear" w:color="auto" w:fill="FFFFFF"/>
              <w:spacing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劳工部登记申报凭证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117" w:type="pct"/>
            <w:vAlign w:val="center"/>
          </w:tcPr>
          <w:p w14:paraId="344B37A3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进口许可</w:t>
            </w:r>
          </w:p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API-U</w:t>
            </w:r>
          </w:p>
        </w:tc>
        <w:tc>
          <w:tcPr>
            <w:tcW w:w="433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1827" w:type="pct"/>
          </w:tcPr>
          <w:p w14:paraId="1F9812A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63D11A3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第二步：开会/沟通关于合同内容需求（合同条款大致内容、以及合作模式说明）（如有）</w:t>
            </w:r>
          </w:p>
          <w:p w14:paraId="77054A9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第三步：审核合同（2 个工作日）</w:t>
            </w:r>
          </w:p>
          <w:p w14:paraId="2FFBFB1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第四步：交付合同（1 个工作日）</w:t>
            </w:r>
          </w:p>
          <w:p w14:paraId="1AB346A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第五步：提出反馈（仅限于 3 次修改）（如有）</w:t>
            </w:r>
          </w:p>
          <w:p w14:paraId="72F23FE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第六步：进行修改</w:t>
            </w:r>
          </w:p>
          <w:p w14:paraId="39655170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第七步：交付合同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合同草稿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4.所需材料清单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项目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所需材料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起草或审核公司人事规章制度服务</w:t>
            </w:r>
          </w:p>
        </w:tc>
        <w:tc>
          <w:tcPr>
            <w:tcW w:w="7229" w:type="dxa"/>
          </w:tcPr>
          <w:p w14:paraId="442660E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公司章程</w:t>
            </w:r>
          </w:p>
          <w:p w14:paraId="13CE33C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司法部批文</w:t>
            </w:r>
          </w:p>
          <w:p w14:paraId="3EF0DCC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公司税卡</w:t>
            </w:r>
          </w:p>
          <w:p w14:paraId="1A6E49B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商业登记证</w:t>
            </w:r>
          </w:p>
          <w:p w14:paraId="7BF238B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旧版公司规章制度副本和备案审批函（如之前备案过）</w:t>
            </w:r>
          </w:p>
          <w:p w14:paraId="19F94AD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公司为 BPJS 会员的证书（复印件）</w:t>
            </w:r>
          </w:p>
          <w:p w14:paraId="720C772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社保医保最后付款证明（复印件）</w:t>
            </w:r>
          </w:p>
          <w:p w14:paraId="12906D2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劳动部颁发的公司工会注册证明（如果公司已有工会组织）</w:t>
            </w:r>
          </w:p>
          <w:p w14:paraId="4594D66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公司工会的组织结构（如果公司已有工会组织）</w:t>
            </w:r>
          </w:p>
          <w:p w14:paraId="21EF31A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JSHK 证书</w:t>
            </w:r>
          </w:p>
          <w:p w14:paraId="10A8D59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11. SISNAKER 账户的用户名及密码</w:t>
            </w:r>
          </w:p>
          <w:p w14:paraId="08AFAC3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12. 公司人事部经理的资料（身份证、电话号码、电子邮箱、母亲姓名）</w:t>
            </w:r>
          </w:p>
          <w:p w14:paraId="437C3A6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13. 员工的资料（身份证（复印件）、职务名称、职务识别号、学历、工作协议状态、残疾状态）</w:t>
            </w:r>
          </w:p>
          <w:p w14:paraId="09531CB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14. 公司董事授权给人事部的授权书（律所提供）</w:t>
            </w:r>
          </w:p>
          <w:p w14:paraId="08F441B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15. 公司规章制度备案申请函（律所提供）</w:t>
            </w:r>
          </w:p>
          <w:p w14:paraId="5747594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16. 薪资结构声明函（律所提供）</w:t>
            </w:r>
          </w:p>
          <w:p w14:paraId="19B337F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17. 分公司或业务经营区域声明函（律所提供）</w:t>
            </w:r>
          </w:p>
          <w:p w14:paraId="0D7E6A18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18. 公司未设立工会声明函（律所提供）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更新和申报劳工部系统</w:t>
            </w:r>
          </w:p>
        </w:tc>
        <w:tc>
          <w:tcPr>
            <w:tcW w:w="7229" w:type="dxa"/>
          </w:tcPr>
          <w:p w14:paraId="740567F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劳工部系统用户名及密码</w:t>
            </w:r>
          </w:p>
          <w:p w14:paraId="2DA2BBE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员工信息（在职/离职、印尼籍/非印尼籍相关资料）</w:t>
            </w:r>
          </w:p>
          <w:p w14:paraId="6A1D3A6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工作时间（每周五天工作日或每周六天工作日）</w:t>
            </w:r>
          </w:p>
          <w:p w14:paraId="6DA605C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员工的最低工资和最高工资</w:t>
            </w:r>
          </w:p>
          <w:p w14:paraId="0729694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NPP 公司社保号码</w:t>
            </w:r>
          </w:p>
          <w:p w14:paraId="3BCD9ABC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社保医保账户里登记的人数（F2A 社保费用明细、医保费用明细）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起草或审核劳动合同服务</w:t>
            </w:r>
          </w:p>
        </w:tc>
        <w:tc>
          <w:tcPr>
            <w:tcW w:w="7229" w:type="dxa"/>
          </w:tcPr>
          <w:p w14:paraId="2062644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录用通知书（如有）</w:t>
            </w:r>
          </w:p>
          <w:p w14:paraId="312229D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需要审核的合同（如有）</w:t>
            </w:r>
          </w:p>
          <w:p w14:paraId="35B9106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雇主的公司商业登记证（如有）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4E8D12F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客户必须提供办理服务所需材料，如因材料不足或材料提供不及时耽误了办理进度，所产生的额外费用则由客户承担。</w:t>
      </w:r>
    </w:p>
    <w:p w14:paraId="0B965FC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所有款项汇到山海图指定的银行账户，银行账户信息如下 :</w:t>
      </w:r>
    </w:p>
    <w:p w14:paraId="36ADBC42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银行名称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  <w:t>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BCA (BANK CENTRAL ASIA)</w:t>
      </w:r>
    </w:p>
    <w:p w14:paraId="634BBBB7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账号名称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  <w:t>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PT DEIN TALENT SOLUTIONS</w:t>
      </w:r>
    </w:p>
    <w:p w14:paraId="7B9D2E25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银行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  <w:t>账号：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6802 044 409</w:t>
      </w:r>
    </w:p>
    <w:p w14:paraId="32929BFD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国际银行代码 Swift Code：CENAIDJAXXX</w:t>
      </w:r>
    </w:p>
    <w:p w14:paraId="0E8F88F3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sz w:val="20"/>
          <w:szCs w:val="20"/>
          <w:lang w:val="ms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/>
        </w:rPr>
        <w:t>分行名称：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BCA KCU BINTARO</w:t>
      </w:r>
    </w:p>
    <w:p w14:paraId="50E8B80E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山海图应对客户提供的纸板或电子版的证件、资料负有妥善保管和保密义务，不得将上述秘密泄露给任何第三方或用于其他用途。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PT DEIN TALENT SOLUTIONS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2644ABF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F01B37">
    <w:pPr>
      <w:pStyle w:val="5"/>
      <w:keepNext w:val="0"/>
      <w:keepLines w:val="0"/>
      <w:pageBreakBefore w:val="0"/>
      <w:widowControl/>
      <w:kinsoku/>
      <w:wordWrap/>
      <w:overflowPunct/>
      <w:topLinePunct w:val="0"/>
      <w:bidi w:val="0"/>
      <w:adjustRightInd/>
      <w:snapToGrid/>
      <w:spacing w:line="240" w:lineRule="auto"/>
      <w:jc w:val="right"/>
      <w:textAlignment w:val="auto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rFonts w:hint="default" w:ascii="Arial" w:hAnsi="Arial" w:cs="Arial" w:eastAsiaTheme="minorEastAsia"/>
        <w:b w:val="0"/>
        <w:bCs/>
        <w:sz w:val="52"/>
        <w:szCs w:val="52"/>
        <w:lang w:eastAsia="zh-CN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11430</wp:posOffset>
          </wp:positionH>
          <wp:positionV relativeFrom="paragraph">
            <wp:posOffset>-86995</wp:posOffset>
          </wp:positionV>
          <wp:extent cx="948055" cy="934720"/>
          <wp:effectExtent l="0" t="0" r="0" b="0"/>
          <wp:wrapNone/>
          <wp:docPr id="3" name="图片 3" descr="bbbfbf875acb8be07246303edde3cb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bbbfbf875acb8be07246303edde3cb26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48055" cy="934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default" w:ascii="Arial" w:hAnsi="Arial" w:eastAsia="微软雅黑" w:cs="Arial"/>
        <w:b w:val="0"/>
        <w:bCs/>
        <w:color w:val="0039C2"/>
        <w:sz w:val="52"/>
        <w:szCs w:val="52"/>
        <w:shd w:val="clear" w:color="auto" w:fill="FFFFFF"/>
        <w:lang w:val="en-US" w:eastAsia="zh-CN"/>
      </w:rPr>
      <w:t>PT DEIN TALENT SOLUTIONS</w:t>
    </w:r>
  </w:p>
  <w:p w14:paraId="0A775BAD">
    <w:pPr>
      <w:keepNext w:val="0"/>
      <w:keepLines w:val="0"/>
      <w:pageBreakBefore w:val="0"/>
      <w:widowControl/>
      <w:kinsoku/>
      <w:wordWrap/>
      <w:overflowPunct/>
      <w:topLinePunct w:val="0"/>
      <w:bidi w:val="0"/>
      <w:adjustRightInd/>
      <w:snapToGrid/>
      <w:spacing w:after="0" w:line="240" w:lineRule="auto"/>
      <w:jc w:val="right"/>
      <w:textAlignment w:val="auto"/>
      <w:rPr>
        <w:rFonts w:hint="default" w:ascii="Arial" w:hAnsi="Arial" w:eastAsia="微软雅黑" w:cs="Arial"/>
        <w:b w:val="0"/>
        <w:bCs/>
        <w:sz w:val="15"/>
        <w:szCs w:val="15"/>
        <w:lang w:val="de-DE" w:eastAsia="zh-CN"/>
      </w:rPr>
    </w:pPr>
    <w:r>
      <w:rPr>
        <w:rFonts w:hint="default" w:ascii="Arial" w:hAnsi="Arial" w:eastAsia="微软雅黑" w:cs="Arial"/>
        <w:b w:val="0"/>
        <w:bCs/>
        <w:sz w:val="15"/>
        <w:szCs w:val="15"/>
        <w:lang w:val="de-DE" w:eastAsia="zh-CN"/>
      </w:rPr>
      <w:t>OFFICE TOWER 3</w:t>
    </w:r>
    <w:r>
      <w:rPr>
        <w:rFonts w:hint="default" w:ascii="Arial" w:hAnsi="Arial" w:eastAsia="微软雅黑" w:cs="Arial"/>
        <w:b w:val="0"/>
        <w:bCs/>
        <w:sz w:val="15"/>
        <w:szCs w:val="15"/>
        <w:lang w:val="en-US" w:eastAsia="zh-CN"/>
      </w:rPr>
      <w:t xml:space="preserve"> </w:t>
    </w:r>
    <w:r>
      <w:rPr>
        <w:rFonts w:hint="default" w:ascii="Arial" w:hAnsi="Arial" w:eastAsia="微软雅黑" w:cs="Arial"/>
        <w:b w:val="0"/>
        <w:bCs/>
        <w:sz w:val="15"/>
        <w:szCs w:val="15"/>
        <w:lang w:val="de-DE" w:eastAsia="zh-CN"/>
      </w:rPr>
      <w:t>CIPUTRA INTERNATIONAL LT.5</w:t>
    </w:r>
  </w:p>
  <w:p w14:paraId="3CE967F6">
    <w:pPr>
      <w:keepNext w:val="0"/>
      <w:keepLines w:val="0"/>
      <w:pageBreakBefore w:val="0"/>
      <w:widowControl/>
      <w:kinsoku/>
      <w:wordWrap/>
      <w:overflowPunct/>
      <w:topLinePunct w:val="0"/>
      <w:bidi w:val="0"/>
      <w:adjustRightInd/>
      <w:snapToGrid/>
      <w:spacing w:after="0" w:line="240" w:lineRule="auto"/>
      <w:jc w:val="right"/>
      <w:textAlignment w:val="auto"/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</w:pPr>
    <w:r>
      <w:rPr>
        <w:rFonts w:hint="default" w:ascii="Arial" w:hAnsi="Arial" w:eastAsia="微软雅黑" w:cs="Arial"/>
        <w:b w:val="0"/>
        <w:bCs/>
        <w:sz w:val="15"/>
        <w:szCs w:val="15"/>
        <w:lang w:val="de-DE" w:eastAsia="zh-CN"/>
      </w:rPr>
      <w:t xml:space="preserve">JL. LINGKAR LUAR BARAT BLOK A NO.1JAKARTA BARAT </w:t>
    </w:r>
    <w:r>
      <w:rPr>
        <w:rFonts w:hint="default" w:ascii="Arial" w:hAnsi="Arial" w:eastAsia="微软雅黑" w:cs="Arial"/>
        <w:b w:val="0"/>
        <w:bCs/>
        <w:sz w:val="15"/>
        <w:szCs w:val="15"/>
        <w:lang w:val="en-US" w:eastAsia="zh-CN"/>
      </w:rPr>
      <w:t>11</w:t>
    </w:r>
    <w:r>
      <w:rPr>
        <w:rFonts w:hint="default" w:ascii="Arial" w:hAnsi="Arial" w:eastAsia="微软雅黑" w:cs="Arial"/>
        <w:b w:val="0"/>
        <w:bCs/>
        <w:sz w:val="15"/>
        <w:szCs w:val="15"/>
        <w:lang w:val="de-DE" w:eastAsia="zh-CN"/>
      </w:rPr>
      <w:t>74</w:t>
    </w:r>
    <w:r>
      <w:rPr>
        <w:rFonts w:hint="default" w:ascii="Arial" w:hAnsi="Arial" w:eastAsia="微软雅黑" w:cs="Arial"/>
        <w:b w:val="0"/>
        <w:bCs/>
        <w:sz w:val="15"/>
        <w:szCs w:val="15"/>
        <w:lang w:val="en-US" w:eastAsia="zh-CN"/>
      </w:rPr>
      <w:t>0</w:t>
    </w:r>
  </w:p>
  <w:p w14:paraId="024ECF3D">
    <w:pPr>
      <w:spacing w:after="0" w:line="300" w:lineRule="auto"/>
      <w:jc w:val="center"/>
      <w:rPr>
        <w:rFonts w:hint="default" w:ascii="Arial" w:hAnsi="Arial" w:eastAsia="仿宋" w:cs="Arial"/>
        <w:b w:val="0"/>
        <w:bCs w:val="0"/>
        <w:lang w:val="de-DE" w:eastAsia="zh-CN"/>
      </w:rPr>
    </w:pPr>
    <w:r>
      <w:rPr>
        <w:rFonts w:hint="default" w:ascii="Arial" w:hAnsi="Arial" w:eastAsia="仿宋" w:cs="Arial"/>
        <w:b w:val="0"/>
        <w:bCs w:val="0"/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-259080</wp:posOffset>
              </wp:positionH>
              <wp:positionV relativeFrom="paragraph">
                <wp:posOffset>254635</wp:posOffset>
              </wp:positionV>
              <wp:extent cx="6405245" cy="0"/>
              <wp:effectExtent l="0" t="19050" r="0" b="19050"/>
              <wp:wrapNone/>
              <wp:docPr id="4" name="直接连接符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4997" cy="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0039C2"/>
                        </a:solidFill>
                        <a:prstDash val="solid"/>
                        <a:miter lim="800000"/>
                      </a:ln>
                      <a:effectLst/>
                    </wps:spPr>
                    <wps:bodyPr upright="0"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20.4pt;margin-top:20.05pt;height:0pt;width:504.35pt;z-index:251660288;mso-width-relative:page;mso-height-relative:page;" filled="f" stroked="t" coordsize="21600,21600" o:gfxdata="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DzkS162QAAAAkBAAAPAAAAAAAAAAEAIAAAACIAAABkcnMvZG93bnJldi54bWxQ&#10;SwECFAAUAAAACACHTuJAA5ogb/YBAADMAwAADgAAAAAAAAABACAAAAAoAQAAZHJzL2Uyb0RvYy54&#10;bWxQSwUGAAAAAAYABgBZAQAAkAUAAAAA&#10;">
              <v:fill on="f" focussize="0,0"/>
              <v:stroke weight="3pt" color="#0039C2" miterlimit="8" joinstyle="miter"/>
              <v:imagedata o:title=""/>
              <o:lock v:ext="edit" aspectratio="f"/>
            </v:line>
          </w:pict>
        </mc:Fallback>
      </mc:AlternateContent>
    </w:r>
    <w:r>
      <w:rPr>
        <w:rFonts w:hint="default" w:ascii="Arial" w:hAnsi="Arial" w:eastAsia="仿宋" w:cs="Arial"/>
        <w:b w:val="0"/>
        <w:bCs w:val="0"/>
      </w:rPr>
      <w:fldChar w:fldCharType="begin"/>
    </w:r>
    <w:r>
      <w:rPr>
        <w:rFonts w:hint="default" w:ascii="Arial" w:hAnsi="Arial" w:eastAsia="仿宋" w:cs="Arial"/>
        <w:b w:val="0"/>
        <w:bCs w:val="0"/>
      </w:rPr>
      <w:instrText xml:space="preserve"> HYPERLINK "http://www.shanhaimap.com" </w:instrText>
    </w:r>
    <w:r>
      <w:rPr>
        <w:rFonts w:hint="default" w:ascii="Arial" w:hAnsi="Arial" w:eastAsia="仿宋" w:cs="Arial"/>
        <w:b w:val="0"/>
        <w:bCs w:val="0"/>
      </w:rPr>
      <w:fldChar w:fldCharType="separate"/>
    </w:r>
    <w:r>
      <w:rPr>
        <w:rFonts w:hint="default" w:ascii="Arial" w:hAnsi="Arial" w:eastAsia="仿宋" w:cs="Arial"/>
        <w:b w:val="0"/>
        <w:bCs w:val="0"/>
        <w:lang w:val="de-DE" w:eastAsia="zh-CN"/>
      </w:rPr>
      <w:fldChar w:fldCharType="end"/>
    </w:r>
    <w:r>
      <w:rPr>
        <w:rFonts w:hint="default" w:ascii="Arial" w:hAnsi="Arial" w:eastAsia="仿宋" w:cs="Arial"/>
        <w:b w:val="0"/>
        <w:bCs w:val="0"/>
        <w:lang w:val="de-DE" w:eastAsia="zh-CN"/>
      </w:rPr>
      <w:t>Web: www.shanhaimap.com</w:t>
    </w:r>
  </w:p>
  <w:p w14:paraId="4270C061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7DDBBB5"/>
    <w:multiLevelType w:val="singleLevel"/>
    <w:tmpl w:val="67DDBBB5"/>
    <w:lvl w:ilvl="0" w:tentative="0">
      <w:start w:val="1"/>
      <w:numFmt w:val="decimal"/>
      <w:lvlText w:val="%1."/>
      <w:lvlJc w:val="left"/>
      <w:pPr>
        <w:ind w:left="283" w:leftChars="0" w:hanging="283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A8F2AE1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71A305E"/>
    <w:rsid w:val="278D02FC"/>
    <w:rsid w:val="2A356F5A"/>
    <w:rsid w:val="2B7E18C1"/>
    <w:rsid w:val="2CEB4EE3"/>
    <w:rsid w:val="2DBD6BB4"/>
    <w:rsid w:val="2E63007C"/>
    <w:rsid w:val="2FC40845"/>
    <w:rsid w:val="2FEF6C8F"/>
    <w:rsid w:val="30995A74"/>
    <w:rsid w:val="31817E9E"/>
    <w:rsid w:val="31B86B15"/>
    <w:rsid w:val="33EB570D"/>
    <w:rsid w:val="36CC1840"/>
    <w:rsid w:val="3777BE6A"/>
    <w:rsid w:val="37B737C7"/>
    <w:rsid w:val="3ACB7C1F"/>
    <w:rsid w:val="3B42554A"/>
    <w:rsid w:val="3B7B68CC"/>
    <w:rsid w:val="3BBD0D5C"/>
    <w:rsid w:val="3BFB1C88"/>
    <w:rsid w:val="3DD94C85"/>
    <w:rsid w:val="3E2DB948"/>
    <w:rsid w:val="3E7E24C5"/>
    <w:rsid w:val="3EC9243F"/>
    <w:rsid w:val="3EEA7278"/>
    <w:rsid w:val="3F5D4C38"/>
    <w:rsid w:val="3F5F591B"/>
    <w:rsid w:val="3F8F8417"/>
    <w:rsid w:val="3F9285E0"/>
    <w:rsid w:val="3FCC083B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F24813"/>
    <w:rsid w:val="57FCA9B7"/>
    <w:rsid w:val="58544147"/>
    <w:rsid w:val="586C3602"/>
    <w:rsid w:val="5BAE9153"/>
    <w:rsid w:val="5BFFDFBD"/>
    <w:rsid w:val="5CFFAAE3"/>
    <w:rsid w:val="5D5DEE61"/>
    <w:rsid w:val="5DDE82A2"/>
    <w:rsid w:val="5DE6A359"/>
    <w:rsid w:val="5E1D09D0"/>
    <w:rsid w:val="5E7C22F4"/>
    <w:rsid w:val="5E9F754A"/>
    <w:rsid w:val="5FF67928"/>
    <w:rsid w:val="608B23E6"/>
    <w:rsid w:val="618C45B4"/>
    <w:rsid w:val="62034376"/>
    <w:rsid w:val="620B2291"/>
    <w:rsid w:val="63201AF6"/>
    <w:rsid w:val="635C20CB"/>
    <w:rsid w:val="65354B2E"/>
    <w:rsid w:val="6773BE62"/>
    <w:rsid w:val="677EF487"/>
    <w:rsid w:val="67F7C66E"/>
    <w:rsid w:val="68F87327"/>
    <w:rsid w:val="694D610D"/>
    <w:rsid w:val="699975D9"/>
    <w:rsid w:val="6AAA0A08"/>
    <w:rsid w:val="6ADF11D7"/>
    <w:rsid w:val="6BFAA11C"/>
    <w:rsid w:val="6C0A7533"/>
    <w:rsid w:val="6D08089B"/>
    <w:rsid w:val="6D2B3276"/>
    <w:rsid w:val="6DA31384"/>
    <w:rsid w:val="6EFF96FB"/>
    <w:rsid w:val="6F23736B"/>
    <w:rsid w:val="6F9F408B"/>
    <w:rsid w:val="6FF7E971"/>
    <w:rsid w:val="6FFF2A41"/>
    <w:rsid w:val="70FB4485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7757F77"/>
    <w:rsid w:val="78EC4051"/>
    <w:rsid w:val="793D4655"/>
    <w:rsid w:val="799A617B"/>
    <w:rsid w:val="7B7140CA"/>
    <w:rsid w:val="7B7723FB"/>
    <w:rsid w:val="7B99ECB8"/>
    <w:rsid w:val="7BBF05E9"/>
    <w:rsid w:val="7BDD543D"/>
    <w:rsid w:val="7BEF1595"/>
    <w:rsid w:val="7BFF29AE"/>
    <w:rsid w:val="7D1E5E3A"/>
    <w:rsid w:val="7DB73519"/>
    <w:rsid w:val="7DB84119"/>
    <w:rsid w:val="7DF6FB41"/>
    <w:rsid w:val="7E86468E"/>
    <w:rsid w:val="7EBDEAAE"/>
    <w:rsid w:val="7EBF65EC"/>
    <w:rsid w:val="7EE995B2"/>
    <w:rsid w:val="7EFF68D4"/>
    <w:rsid w:val="7EFFCD06"/>
    <w:rsid w:val="7F33813B"/>
    <w:rsid w:val="7F65D40C"/>
    <w:rsid w:val="7F7B8623"/>
    <w:rsid w:val="7FAA638C"/>
    <w:rsid w:val="7FCD8404"/>
    <w:rsid w:val="7FD7615D"/>
    <w:rsid w:val="7FEF52C2"/>
    <w:rsid w:val="7FF63B06"/>
    <w:rsid w:val="7FF7552A"/>
    <w:rsid w:val="7FF84809"/>
    <w:rsid w:val="7FFFAE4C"/>
    <w:rsid w:val="87EFD2EC"/>
    <w:rsid w:val="8EFE4491"/>
    <w:rsid w:val="97DF8C8D"/>
    <w:rsid w:val="9BD7EF83"/>
    <w:rsid w:val="9D7F3FB9"/>
    <w:rsid w:val="9EDFBD6A"/>
    <w:rsid w:val="ACFD12B7"/>
    <w:rsid w:val="AFFD733D"/>
    <w:rsid w:val="BB7F2968"/>
    <w:rsid w:val="BCBF31BA"/>
    <w:rsid w:val="BDFFC510"/>
    <w:rsid w:val="BF652171"/>
    <w:rsid w:val="BF7EF310"/>
    <w:rsid w:val="BF9EB9DA"/>
    <w:rsid w:val="BFAFBCE6"/>
    <w:rsid w:val="BFDF36D4"/>
    <w:rsid w:val="BFEF6E8F"/>
    <w:rsid w:val="C5F7C48C"/>
    <w:rsid w:val="C7EF45BE"/>
    <w:rsid w:val="C9776CA5"/>
    <w:rsid w:val="CA5F1CB1"/>
    <w:rsid w:val="CCDF4864"/>
    <w:rsid w:val="CDF62A6D"/>
    <w:rsid w:val="D2DF5404"/>
    <w:rsid w:val="D5BB3ED7"/>
    <w:rsid w:val="D6D74270"/>
    <w:rsid w:val="D7D70942"/>
    <w:rsid w:val="D7FF55AF"/>
    <w:rsid w:val="D8D95E14"/>
    <w:rsid w:val="DB7D6CD6"/>
    <w:rsid w:val="DB7EC565"/>
    <w:rsid w:val="DBFD4CB0"/>
    <w:rsid w:val="DCBF05AD"/>
    <w:rsid w:val="DDB71E72"/>
    <w:rsid w:val="DEDF7C59"/>
    <w:rsid w:val="DF7BE9F8"/>
    <w:rsid w:val="DFDE0ADA"/>
    <w:rsid w:val="DFEFF3B4"/>
    <w:rsid w:val="DFFB02B8"/>
    <w:rsid w:val="DFFD782D"/>
    <w:rsid w:val="E5B9CEF3"/>
    <w:rsid w:val="E7FA3E86"/>
    <w:rsid w:val="EAAF40F5"/>
    <w:rsid w:val="EF75090B"/>
    <w:rsid w:val="EFDDD2BE"/>
    <w:rsid w:val="EFEDB337"/>
    <w:rsid w:val="EFFDF154"/>
    <w:rsid w:val="EFFF95B0"/>
    <w:rsid w:val="F1FF538E"/>
    <w:rsid w:val="F3D73CC4"/>
    <w:rsid w:val="F3EF7E87"/>
    <w:rsid w:val="F6EB2067"/>
    <w:rsid w:val="F6FFB050"/>
    <w:rsid w:val="F7330877"/>
    <w:rsid w:val="F76127D3"/>
    <w:rsid w:val="F7778386"/>
    <w:rsid w:val="F7E8CFF7"/>
    <w:rsid w:val="F945E7EA"/>
    <w:rsid w:val="F9F6BE31"/>
    <w:rsid w:val="FAE932EB"/>
    <w:rsid w:val="FAF75397"/>
    <w:rsid w:val="FB3F506C"/>
    <w:rsid w:val="FBAFCF7C"/>
    <w:rsid w:val="FBDFCDE9"/>
    <w:rsid w:val="FBE6483A"/>
    <w:rsid w:val="FBED0BF7"/>
    <w:rsid w:val="FBF7A49F"/>
    <w:rsid w:val="FBFF0FCF"/>
    <w:rsid w:val="FD396301"/>
    <w:rsid w:val="FD3A3C1A"/>
    <w:rsid w:val="FD9E9789"/>
    <w:rsid w:val="FDFF37FC"/>
    <w:rsid w:val="FEDB986F"/>
    <w:rsid w:val="FEDFB795"/>
    <w:rsid w:val="FEE9AD1F"/>
    <w:rsid w:val="FEF1B668"/>
    <w:rsid w:val="FF16D043"/>
    <w:rsid w:val="FF5E55B8"/>
    <w:rsid w:val="FF6FC4C9"/>
    <w:rsid w:val="FF9BCE98"/>
    <w:rsid w:val="FFAB94D0"/>
    <w:rsid w:val="FFAF6A72"/>
    <w:rsid w:val="FFBFE082"/>
    <w:rsid w:val="FFD66F8E"/>
    <w:rsid w:val="FFFD2C78"/>
    <w:rsid w:val="FFFDD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0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2026-01-13T07:58:00Z</dcterms:created>
  <dc:creator>olivi</dc:creator>
  <cp:lastModifiedBy>【祈祷】</cp:lastModifiedBy>
  <cp:lastPrinted>2025-11-25T00:54:00Z</cp:lastPrinted>
  <dcterms:modified xsi:type="dcterms:W3CDTF">2026-09-11T09:17:34Z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