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公司名称    ：SHT INTERNATIONAL PTE</w:t>
      </w:r>
      <w:r>
        <w:rPr>
          <w:rFonts w:hint="default" w:ascii="仿宋" w:hAnsi="仿宋" w:eastAsia="仿宋" w:cs="仿宋"/>
          <w:sz w:val="24"/>
          <w:lang w:val="en-US" w:eastAsia="zh-CN"/>
        </w:rPr>
        <w:t>.LTD.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：SHMSG/V/2026/S999</w:t>
      </w:r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新加坡投资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配套服务方案</w:t>
      </w:r>
    </w:p>
    <w:p w14:paraId="4C952861">
      <w:pPr>
        <w:pStyle w:val="25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76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新币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251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新加坡公司年度企业所得税申报</w:t>
            </w:r>
          </w:p>
        </w:tc>
        <w:tc>
          <w:tcPr>
            <w:tcW w:w="76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126685D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1,190</w:t>
            </w:r>
          </w:p>
        </w:tc>
        <w:tc>
          <w:tcPr>
            <w:tcW w:w="4251" w:type="dxa"/>
            <w:vAlign w:val="center"/>
          </w:tcPr>
          <w:p w14:paraId="022833A4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新加坡公司成立后需按财政年度向 IRAS 报税，每年 11 月 30 日前完成。满足 ECI 豁免条件（年营业额 &lt;500 万新币且无应税利润）的公司只需一次申报；不满足的需在财年结束三个月内申报预估税。无需审计的公司出具未经审计财务报表即可，需审计的须先完成审计报告。逾期申报可能被罚款，最高可达一万元新币。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新加坡公司注册</w:t>
            </w:r>
          </w:p>
        </w:tc>
        <w:tc>
          <w:tcPr>
            <w:tcW w:w="76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3AB47D6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2,400</w:t>
            </w:r>
          </w:p>
        </w:tc>
        <w:tc>
          <w:tcPr>
            <w:tcW w:w="4251" w:type="dxa"/>
            <w:vAlign w:val="center"/>
          </w:tcPr>
          <w:p w14:paraId="393ABE5E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新加坡私人有限公司要求至少 1 名股东（最多 20 名）、至少 2 名董事（含 1 名新加坡常驻居民）及 1 名法定秘书（新加坡常驻居民）。注册资本最低 1 新币，不验资。公司须指定一名数据保护官（DPO），无国籍限制。办理流程：名称查重 → 背景调查 → 起草法定文件 → 客户签署 → ACRA 提交 → 政府审核 → 颁发文件。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新加坡SFA食品进口商许可证</w:t>
            </w:r>
          </w:p>
        </w:tc>
        <w:tc>
          <w:tcPr>
            <w:tcW w:w="76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center"/>
          </w:tcPr>
          <w:p w14:paraId="6D2B5C33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2,800</w:t>
            </w:r>
          </w:p>
        </w:tc>
        <w:tc>
          <w:tcPr>
            <w:tcW w:w="4251" w:type="dxa"/>
            <w:vAlign w:val="center"/>
          </w:tcPr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根据 SFA 及《食品销售法》，拟在新加坡进口食品的企业须取得合法进口资质，每批货物抵境前须完成通关准证申请。SFA 将进口资质分为注册号（Registration）与许可证（Licence）两类。高风险食品（肉类、海鲜、蛋类、生鲜果蔬等）须申请 Licence 且海外工厂须在 SFA 白名单。许可证有效期 1 年，由银行 GIRO 自动划扣年费，资质绑定公司UEN 不可转让。</w:t>
            </w:r>
          </w:p>
        </w:tc>
      </w:tr>
      <w:tr w14:paraId="2E0B6C37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3E286084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6,390</w:t>
            </w:r>
          </w:p>
        </w:tc>
      </w:tr>
      <w:tr w14:paraId="6F26F530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优惠金额</w:t>
            </w:r>
          </w:p>
        </w:tc>
        <w:tc>
          <w:tcPr>
            <w:tcW w:w="6124" w:type="dxa"/>
            <w:gridSpan w:val="2"/>
            <w:vAlign w:val="center"/>
          </w:tcPr>
          <w:p w14:paraId="42C41DE9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390</w:t>
            </w:r>
          </w:p>
        </w:tc>
      </w:tr>
      <w:tr w14:paraId="0ADFA829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07433FAB">
            <w:pPr>
              <w:wordWrap w:val="0"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增值税 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0244222C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</w:p>
        </w:tc>
      </w:tr>
      <w:tr w14:paraId="15824291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24" w:type="dxa"/>
            <w:gridSpan w:val="2"/>
            <w:vAlign w:val="center"/>
          </w:tcPr>
          <w:p w14:paraId="283F0A7E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6,000</w:t>
            </w:r>
          </w:p>
        </w:tc>
      </w:tr>
    </w:tbl>
    <w:p w14:paraId="62D007FE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b/>
          <w:bCs/>
          <w:color w:val="FF0000"/>
          <w:lang w:eastAsia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48A56FA3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pacing w:val="-1"/>
          <w:position w:val="6"/>
          <w:sz w:val="22"/>
          <w:szCs w:val="22"/>
        </w:rPr>
        <w:t>a</w:t>
      </w:r>
      <w:r>
        <w:rPr>
          <w:rFonts w:hint="eastAsia" w:ascii="仿宋" w:hAnsi="仿宋" w:eastAsia="仿宋" w:cs="仿宋"/>
          <w:sz w:val="22"/>
          <w:szCs w:val="22"/>
          <w:lang w:val="zh-CN"/>
        </w:rPr>
        <w:t>.以上办理时间均为收集齐资料开始的官方办理时间；</w:t>
      </w:r>
    </w:p>
    <w:p w14:paraId="100083ED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</w:p>
    <w:p w14:paraId="2C842783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b.以上服务报价不包括：</w:t>
      </w:r>
    </w:p>
    <w:p w14:paraId="64ECA17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-中</w:t>
      </w: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新</w:t>
      </w:r>
      <w:r>
        <w:rPr>
          <w:rFonts w:hint="eastAsia" w:ascii="仿宋" w:hAnsi="仿宋" w:eastAsia="仿宋" w:cs="仿宋"/>
          <w:sz w:val="22"/>
          <w:szCs w:val="22"/>
          <w:lang w:val="zh-CN"/>
        </w:rPr>
        <w:t>文件翻译费用（如需）：129 元/页 （普通翻译）或 195元/页 (宣誓翻译)；</w:t>
      </w:r>
    </w:p>
    <w:p w14:paraId="64FBE42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-国际快递费用；</w:t>
      </w:r>
    </w:p>
    <w:p w14:paraId="50F8AD41">
      <w:pPr>
        <w:spacing w:after="0" w:line="240" w:lineRule="auto"/>
        <w:contextualSpacing/>
        <w:rPr>
          <w:rFonts w:hint="default" w:ascii="仿宋" w:hAnsi="仿宋" w:eastAsia="仿宋" w:cs="仿宋"/>
          <w:sz w:val="22"/>
          <w:szCs w:val="22"/>
          <w:lang w:val="en-US" w:eastAsia="zh-CN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官费</w:t>
      </w: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5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交付材料清单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249"/>
        <w:gridCol w:w="872"/>
        <w:gridCol w:w="3679"/>
        <w:gridCol w:w="2671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117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项目</w:t>
            </w:r>
          </w:p>
        </w:tc>
        <w:tc>
          <w:tcPr>
            <w:tcW w:w="433" w:type="pct"/>
            <w:vAlign w:val="center"/>
          </w:tcPr>
          <w:p w14:paraId="47D89B5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时间</w:t>
            </w:r>
          </w:p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工作日</w:t>
            </w:r>
          </w:p>
        </w:tc>
        <w:tc>
          <w:tcPr>
            <w:tcW w:w="1827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117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新加坡公司年度企业所得税申报</w:t>
            </w:r>
          </w:p>
        </w:tc>
        <w:tc>
          <w:tcPr>
            <w:tcW w:w="433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</w:t>
            </w:r>
          </w:p>
        </w:tc>
        <w:tc>
          <w:tcPr>
            <w:tcW w:w="1827" w:type="pct"/>
          </w:tcPr>
          <w:p w14:paraId="23B2117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第一步：收集资料</w:t>
            </w:r>
          </w:p>
          <w:p w14:paraId="35AC1C7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整理报税表格（4 个工作日）</w:t>
            </w:r>
          </w:p>
          <w:p w14:paraId="5DFBA8F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在税务局提交纳税申请（7 个工作日）</w:t>
            </w:r>
          </w:p>
          <w:p w14:paraId="03F56A9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收到企业所得税评估通知（3 个工作日）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br w:type="textWrapping"/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缴纳税费（1 个工作日）</w:t>
            </w:r>
          </w:p>
        </w:tc>
        <w:tc>
          <w:tcPr>
            <w:tcW w:w="1326" w:type="pct"/>
          </w:tcPr>
          <w:p w14:paraId="126FAE68">
            <w:pPr>
              <w:pStyle w:val="9"/>
              <w:numPr>
                <w:ilvl w:val="0"/>
                <w:numId w:val="0"/>
              </w:numPr>
              <w:shd w:val="clear" w:color="auto" w:fill="FFFFFF"/>
              <w:spacing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已缴税完成通知书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117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新加坡公司注册</w:t>
            </w:r>
          </w:p>
        </w:tc>
        <w:tc>
          <w:tcPr>
            <w:tcW w:w="433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18</w:t>
            </w:r>
          </w:p>
        </w:tc>
        <w:tc>
          <w:tcPr>
            <w:tcW w:w="1827" w:type="pct"/>
            <w:vAlign w:val="top"/>
          </w:tcPr>
          <w:p w14:paraId="3E2191B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收集资料</w:t>
            </w:r>
          </w:p>
          <w:p w14:paraId="21ED6EE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公司名称查重（1 个工作日）</w:t>
            </w:r>
          </w:p>
          <w:p w14:paraId="3269A62B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客户背景调查（5 个工作日）</w:t>
            </w:r>
          </w:p>
          <w:p w14:paraId="45F73DA4">
            <w:pPr>
              <w:spacing w:after="0" w:line="280" w:lineRule="auto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起草法定文件（5 个工作日）</w:t>
            </w:r>
          </w:p>
          <w:p w14:paraId="63886BE9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客户签署文件</w:t>
            </w:r>
          </w:p>
          <w:p w14:paraId="1AAC6C7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第六步：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在新加坡公司注册局（ACRA）提交申请（1 个工作日）</w:t>
            </w:r>
          </w:p>
          <w:p w14:paraId="306287C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第七步：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政府审核（5 个工作日）</w:t>
            </w:r>
          </w:p>
          <w:p w14:paraId="276B5AC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第八步：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颁发交付文件（1 个工作日）</w:t>
            </w:r>
          </w:p>
        </w:tc>
        <w:tc>
          <w:tcPr>
            <w:tcW w:w="1326" w:type="pct"/>
          </w:tcPr>
          <w:p w14:paraId="56D1ED12">
            <w:pPr>
              <w:numPr>
                <w:ilvl w:val="0"/>
                <w:numId w:val="1"/>
              </w:numPr>
              <w:spacing w:after="0" w:line="280" w:lineRule="auto"/>
              <w:ind w:left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新加坡公司营业执照</w:t>
            </w:r>
          </w:p>
          <w:p w14:paraId="65A79B39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成立公告</w:t>
            </w:r>
          </w:p>
          <w:p w14:paraId="0F977704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注册纸</w:t>
            </w:r>
          </w:p>
          <w:p w14:paraId="3459E3C2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股份登记文件</w:t>
            </w:r>
          </w:p>
          <w:p w14:paraId="17ED9B2A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挂名董事协议</w:t>
            </w:r>
          </w:p>
          <w:p w14:paraId="365292DF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商业秘书授权文件</w:t>
            </w:r>
          </w:p>
          <w:p w14:paraId="15F467F8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申请股份表</w:t>
            </w:r>
          </w:p>
          <w:p w14:paraId="63AE1D3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第一次董事会议记录</w:t>
            </w:r>
          </w:p>
          <w:p w14:paraId="4F7499EC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董事通知</w:t>
            </w:r>
          </w:p>
          <w:p w14:paraId="14720B26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公司章程</w:t>
            </w:r>
          </w:p>
          <w:p w14:paraId="798BF84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公司印章（翻章、钢印）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117" w:type="pct"/>
            <w:vAlign w:val="center"/>
          </w:tcPr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新加坡SFA食品进口商许可证</w:t>
            </w:r>
          </w:p>
        </w:tc>
        <w:tc>
          <w:tcPr>
            <w:tcW w:w="433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</w:t>
            </w:r>
          </w:p>
        </w:tc>
        <w:tc>
          <w:tcPr>
            <w:tcW w:w="1827" w:type="pct"/>
          </w:tcPr>
          <w:p w14:paraId="0D5A46F9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id-ID"/>
              </w:rPr>
              <w:t>收集资料</w:t>
            </w:r>
          </w:p>
          <w:p w14:paraId="3BA0A3C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二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明确食品分类与资质类型</w:t>
            </w:r>
          </w:p>
          <w:p w14:paraId="4673C87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在线申请并缴纳官费（1 个工作日）</w:t>
            </w:r>
          </w:p>
          <w:p w14:paraId="3F68FDDF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四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取得 SFA 进口资质批文（14 个工作日）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新加坡公司食品进口商许可证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4.所需材料清单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项目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所需材料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新加坡公司年度企业所得税申报</w:t>
            </w:r>
          </w:p>
        </w:tc>
        <w:tc>
          <w:tcPr>
            <w:tcW w:w="7229" w:type="dxa"/>
          </w:tcPr>
          <w:p w14:paraId="533603A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公司基本资料：</w:t>
            </w:r>
          </w:p>
          <w:p w14:paraId="0B93D9AB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公司章程</w:t>
            </w:r>
          </w:p>
          <w:p w14:paraId="4951E6D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最新注册纸</w:t>
            </w:r>
          </w:p>
          <w:p w14:paraId="639AB7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注册证书</w:t>
            </w:r>
          </w:p>
          <w:p w14:paraId="1A51F67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周年申报表</w:t>
            </w:r>
          </w:p>
          <w:p w14:paraId="1C5ECF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财务单据：</w:t>
            </w:r>
          </w:p>
          <w:p w14:paraId="2AFB9AD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财务账目（损益表、资产负债表、明细账、流水账）</w:t>
            </w:r>
          </w:p>
          <w:p w14:paraId="4330D76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公司银行月结单（首年还需开户通知书）</w:t>
            </w:r>
          </w:p>
          <w:p w14:paraId="747A6AF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收入记录（发票、合同、税票）</w:t>
            </w:r>
          </w:p>
          <w:p w14:paraId="270DB4E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支出记录（工资、租金、运费等）</w:t>
            </w:r>
          </w:p>
          <w:p w14:paraId="14B61ED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资产清单</w:t>
            </w:r>
          </w:p>
          <w:p w14:paraId="0B848EF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年度最终版财务报表、财务报告、审计报告（如有）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新加坡公司注册</w:t>
            </w:r>
          </w:p>
        </w:tc>
        <w:tc>
          <w:tcPr>
            <w:tcW w:w="7229" w:type="dxa"/>
          </w:tcPr>
          <w:p w14:paraId="176C380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新加坡公司注册信息收集表</w:t>
            </w:r>
          </w:p>
          <w:p w14:paraId="5562759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股东为公司时：</w:t>
            </w:r>
          </w:p>
          <w:p w14:paraId="645557C2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中国公司中英文版本营业执照、中文章程</w:t>
            </w:r>
          </w:p>
          <w:p w14:paraId="3B1470B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法人身份证（正反面）、护照首页（需 CTC）</w:t>
            </w:r>
          </w:p>
          <w:p w14:paraId="195B0B06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董事身份证、护照首页（需 CTC）、电邮</w:t>
            </w:r>
          </w:p>
          <w:p w14:paraId="3AA00EB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英文版董事名册（需签字）</w:t>
            </w:r>
          </w:p>
          <w:p w14:paraId="65B5D2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英文架构图（需签字）</w:t>
            </w:r>
          </w:p>
          <w:p w14:paraId="7F94C81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最终受益人清晰版证件（身份证、护照需 CTC、电邮）</w:t>
            </w:r>
          </w:p>
          <w:p w14:paraId="49D1034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(7) 最终受益人持股比例须超过 25%</w:t>
            </w:r>
          </w:p>
          <w:p w14:paraId="2DE8E0F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(8) 所有持股超 25% 关联公司的中英文营业执照、章程、英文董事名册</w:t>
            </w:r>
          </w:p>
          <w:p w14:paraId="44A945B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股东为个人时：所有股东和董事的身份证、护照首页（需 CTC）、电邮</w:t>
            </w:r>
          </w:p>
          <w:p w14:paraId="7D74366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* 所有证件有效期须大于 6 个月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新加坡SFA食品进口商许可证</w:t>
            </w:r>
          </w:p>
        </w:tc>
        <w:tc>
          <w:tcPr>
            <w:tcW w:w="7229" w:type="dxa"/>
          </w:tcPr>
          <w:p w14:paraId="48638B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公司注册证书/信息摘要（ACRA BizFile）</w:t>
            </w:r>
          </w:p>
          <w:p w14:paraId="599CE23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董事及 CorpPass 授权人员信息（身份证/护照/FIN 卡）</w:t>
            </w:r>
          </w:p>
          <w:p w14:paraId="5C4E828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海关账户激活证明（Customs Registration Letter）</w:t>
            </w:r>
          </w:p>
          <w:p w14:paraId="7DC2335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4. SFA GIRO 银行自动扣款申请表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4E8D12F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客户必须提供办理服务所需材料，如因材料不足或材料提供不及时耽误了办理进度，所产生的额外费用则由客户承担。</w:t>
      </w:r>
    </w:p>
    <w:p w14:paraId="0B965FC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所有款项汇到山海图指定的银行账户，银行账户信息如下 :</w:t>
      </w:r>
    </w:p>
    <w:p w14:paraId="78A9D09C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eneficiary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ank：oversea-chinese banking corporation limited</w:t>
      </w:r>
    </w:p>
    <w:p w14:paraId="3349AA17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eneficiary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ank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A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ddress：63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C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h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ulia Street,#10-00,OCBC Centre Singapore 049514</w:t>
      </w:r>
    </w:p>
    <w:p w14:paraId="00A48436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eneficiary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ank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Swift code:OCBCSGSG</w:t>
      </w:r>
    </w:p>
    <w:p w14:paraId="0ADFB0A6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OCBC Bank Code:7339</w:t>
      </w:r>
    </w:p>
    <w:p w14:paraId="1493DC0F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OCBC Branch Code:First 3 digits of your account number</w:t>
      </w:r>
    </w:p>
    <w:p w14:paraId="7A8B4432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Account 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Name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: SHAN HAI MAP CONSULTANCY PTE.LTD</w:t>
      </w:r>
    </w:p>
    <w:p w14:paraId="398FB59E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M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ulti-currency account(RMB/USD)：687482901201</w:t>
      </w:r>
    </w:p>
    <w:p w14:paraId="3F0B8998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SGD Current A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ccount：701714438001</w:t>
      </w:r>
    </w:p>
    <w:p w14:paraId="111E96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ms"/>
        </w:rPr>
      </w:pPr>
    </w:p>
    <w:p w14:paraId="50E8B80E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山海图应对客户提供的纸板或电子版的证件、资料负有妥善保管和保密义务，不得将上述秘密泄露给任何第三方或用于其他用途。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225697D3">
      <w:pPr>
        <w:numPr>
          <w:numId w:val="0"/>
        </w:numPr>
        <w:spacing w:after="0" w:line="240" w:lineRule="auto"/>
        <w:ind w:leftChars="0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bookmarkStart w:id="0" w:name="_GoBack"/>
      <w:bookmarkEnd w:id="0"/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5ED6E9DD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default" w:ascii="仿宋" w:hAnsi="仿宋" w:eastAsia="仿宋" w:cs="仿宋"/>
                <w:sz w:val="22"/>
                <w:szCs w:val="22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SHAN HAI MAP CONSULTANCY PTE.LTD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493E0D3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F01B37">
    <w:pPr>
      <w:pStyle w:val="5"/>
      <w:wordWrap/>
      <w:spacing w:line="240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rFonts w:hint="default" w:ascii="Arial" w:hAnsi="Arial" w:cs="Arial"/>
        <w:b w:val="0"/>
        <w:color w:val="0039C2"/>
        <w:sz w:val="52"/>
        <w:szCs w:val="52"/>
        <w:lang w:eastAsia="zh-CN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32385</wp:posOffset>
          </wp:positionH>
          <wp:positionV relativeFrom="paragraph">
            <wp:posOffset>-13335</wp:posOffset>
          </wp:positionV>
          <wp:extent cx="682625" cy="791845"/>
          <wp:effectExtent l="0" t="0" r="53975" b="46355"/>
          <wp:wrapThrough wrapText="bothSides">
            <wp:wrapPolygon>
              <wp:start x="0" y="0"/>
              <wp:lineTo x="0" y="20786"/>
              <wp:lineTo x="20897" y="20786"/>
              <wp:lineTo x="20897" y="0"/>
              <wp:lineTo x="0" y="0"/>
            </wp:wrapPolygon>
          </wp:wrapThrough>
          <wp:docPr id="6" name="Picture 6" descr="Logo Baru SHM 20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Logo Baru SHM 202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2625" cy="7918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default" w:ascii="Arial" w:hAnsi="Arial" w:eastAsia="微软雅黑" w:cs="Arial"/>
        <w:b w:val="0"/>
        <w:bCs/>
        <w:color w:val="0039C2"/>
        <w:sz w:val="40"/>
        <w:szCs w:val="40"/>
        <w:shd w:val="clear" w:color="auto" w:fill="FFFFFF"/>
        <w:lang w:eastAsia="zh-CN"/>
      </w:rPr>
      <w:t>SHAN HAI MAP CONSULTANCY PTE.LTD</w:t>
    </w:r>
    <w:r>
      <w:rPr>
        <w:rFonts w:hint="default" w:ascii="Arial" w:hAnsi="Arial" w:eastAsia="微软雅黑" w:cs="Arial"/>
        <w:b w:val="0"/>
        <w:bCs/>
        <w:color w:val="0039C2"/>
        <w:sz w:val="40"/>
        <w:szCs w:val="40"/>
        <w:shd w:val="clear" w:color="auto" w:fill="FFFFFF"/>
        <w:lang w:val="en-US" w:eastAsia="zh-CN"/>
      </w:rPr>
      <w:t>.</w:t>
    </w:r>
  </w:p>
  <w:p w14:paraId="4ACCFB87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lang w:val="de-DE" w:eastAsia="zh-CN"/>
      </w:rPr>
    </w:pPr>
    <w:r>
      <w:rPr>
        <w:rFonts w:hint="default" w:ascii="Arial" w:hAnsi="Arial" w:eastAsia="微软雅黑" w:cs="Arial"/>
        <w:b w:val="0"/>
        <w:bCs w:val="0"/>
        <w:lang w:val="de-DE" w:eastAsia="zh-CN"/>
      </w:rPr>
      <w:t>1 North Bridge Road, #06-14 High Street Centre, SINGAPORE 179094</w:t>
    </w:r>
  </w:p>
  <w:p w14:paraId="024ECF3D">
    <w:pPr>
      <w:spacing w:after="0" w:line="240" w:lineRule="auto"/>
      <w:jc w:val="center"/>
      <w:rPr>
        <w:rFonts w:hint="default" w:ascii="Arial" w:hAnsi="Arial" w:eastAsia="微软雅黑" w:cs="Arial"/>
        <w:b w:val="0"/>
        <w:bCs w:val="0"/>
        <w:lang w:val="de-DE" w:eastAsia="zh-CN"/>
      </w:rPr>
    </w:pPr>
    <w:r>
      <w:rPr>
        <w:rFonts w:hint="default" w:ascii="Arial" w:hAnsi="Arial" w:cs="Arial"/>
        <w:b w:val="0"/>
        <w:bCs w:val="0"/>
      </w:rPr>
      <w:fldChar w:fldCharType="begin"/>
    </w:r>
    <w:r>
      <w:rPr>
        <w:rFonts w:hint="default" w:ascii="Arial" w:hAnsi="Arial" w:cs="Arial"/>
        <w:b w:val="0"/>
        <w:bCs w:val="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</w:rPr>
      <w:fldChar w:fldCharType="separate"/>
    </w:r>
    <w:r>
      <w:rPr>
        <w:rFonts w:hint="default" w:ascii="Arial" w:hAnsi="Arial" w:eastAsia="微软雅黑" w:cs="Arial"/>
        <w:b w:val="0"/>
        <w:bCs w:val="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lang w:val="de-DE" w:eastAsia="zh-CN"/>
      </w:rPr>
      <w:t>Web: www.shanhaimap.com</w:t>
    </w:r>
  </w:p>
  <w:p w14:paraId="4270C061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 w:eastAsiaTheme="minorEastAsia"/>
        <w:b w:val="0"/>
        <w:bCs w:val="0"/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-240665</wp:posOffset>
              </wp:positionH>
              <wp:positionV relativeFrom="paragraph">
                <wp:posOffset>77470</wp:posOffset>
              </wp:positionV>
              <wp:extent cx="6405245" cy="0"/>
              <wp:effectExtent l="0" t="19050" r="0" b="19050"/>
              <wp:wrapNone/>
              <wp:docPr id="4" name="直接连接符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4997" cy="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0039C2"/>
                        </a:solidFill>
                        <a:prstDash val="solid"/>
                        <a:miter lim="800000"/>
                      </a:ln>
                      <a:effectLst/>
                    </wps:spPr>
                    <wps:bodyPr upright="0"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8.95pt;margin-top:6.1pt;height:0pt;width:504.35pt;z-index:251660288;mso-width-relative:page;mso-height-relative:page;" filled="f" stroked="t" coordsize="21600,21600" o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v:fill on="f" focussize="0,0"/>
              <v:stroke weight="3pt" color="#0039C2" miterlimit="8" joinstyle="miter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4BD3AB"/>
    <w:multiLevelType w:val="singleLevel"/>
    <w:tmpl w:val="FB4BD3A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97FAAF6"/>
    <w:rsid w:val="1A8F2AE1"/>
    <w:rsid w:val="1B9B77D8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71A305E"/>
    <w:rsid w:val="278D02FC"/>
    <w:rsid w:val="27FDA530"/>
    <w:rsid w:val="2A356F5A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FB1C88"/>
    <w:rsid w:val="3DD94C85"/>
    <w:rsid w:val="3EC9243F"/>
    <w:rsid w:val="3EE7E18E"/>
    <w:rsid w:val="3F5F591B"/>
    <w:rsid w:val="3F8F8417"/>
    <w:rsid w:val="3F9285E0"/>
    <w:rsid w:val="3FA65A02"/>
    <w:rsid w:val="3FCC083B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B1A2962"/>
    <w:rsid w:val="5BFFDFBD"/>
    <w:rsid w:val="5D5DEE61"/>
    <w:rsid w:val="5DDE82A2"/>
    <w:rsid w:val="5DE6A359"/>
    <w:rsid w:val="5E1D09D0"/>
    <w:rsid w:val="5E7C22F4"/>
    <w:rsid w:val="5E9F754A"/>
    <w:rsid w:val="5F5EEFE7"/>
    <w:rsid w:val="5FEEA0DA"/>
    <w:rsid w:val="5FEF9902"/>
    <w:rsid w:val="5FF67928"/>
    <w:rsid w:val="608B23E6"/>
    <w:rsid w:val="618C45B4"/>
    <w:rsid w:val="62034376"/>
    <w:rsid w:val="620B2291"/>
    <w:rsid w:val="62F7557B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751839"/>
    <w:rsid w:val="6BFAA11C"/>
    <w:rsid w:val="6C0A7533"/>
    <w:rsid w:val="6CF78120"/>
    <w:rsid w:val="6D08089B"/>
    <w:rsid w:val="6D2B3276"/>
    <w:rsid w:val="6DA31384"/>
    <w:rsid w:val="6DF94543"/>
    <w:rsid w:val="6EFCCC98"/>
    <w:rsid w:val="6EFF96FB"/>
    <w:rsid w:val="6F23736B"/>
    <w:rsid w:val="6FB5E437"/>
    <w:rsid w:val="6FF7E971"/>
    <w:rsid w:val="70FB4485"/>
    <w:rsid w:val="71732C50"/>
    <w:rsid w:val="71C1672B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72342D4"/>
    <w:rsid w:val="77757F77"/>
    <w:rsid w:val="78EC4051"/>
    <w:rsid w:val="78FFF6C2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1E0B6A"/>
    <w:rsid w:val="7E86468E"/>
    <w:rsid w:val="7EBF65EC"/>
    <w:rsid w:val="7EE995B2"/>
    <w:rsid w:val="7EFF68D4"/>
    <w:rsid w:val="7EFFCD06"/>
    <w:rsid w:val="7F159260"/>
    <w:rsid w:val="7F9F3A4F"/>
    <w:rsid w:val="7FAA638C"/>
    <w:rsid w:val="7FD7615D"/>
    <w:rsid w:val="7FDFD700"/>
    <w:rsid w:val="7FF63B06"/>
    <w:rsid w:val="7FF7552A"/>
    <w:rsid w:val="7FF84809"/>
    <w:rsid w:val="7FFFAE4C"/>
    <w:rsid w:val="87EFD2EC"/>
    <w:rsid w:val="8EFE4491"/>
    <w:rsid w:val="9137EFD5"/>
    <w:rsid w:val="97DF8C8D"/>
    <w:rsid w:val="97FFF81E"/>
    <w:rsid w:val="9AB70D98"/>
    <w:rsid w:val="9BD7EF83"/>
    <w:rsid w:val="9D7F3FB9"/>
    <w:rsid w:val="9E6C5784"/>
    <w:rsid w:val="9EBF456F"/>
    <w:rsid w:val="9EDFBD6A"/>
    <w:rsid w:val="9EFB46F5"/>
    <w:rsid w:val="9FBFA513"/>
    <w:rsid w:val="9FEFABCB"/>
    <w:rsid w:val="AAEFD2AA"/>
    <w:rsid w:val="AFFD733D"/>
    <w:rsid w:val="B6EEF6BC"/>
    <w:rsid w:val="B7373BAC"/>
    <w:rsid w:val="BAEB724B"/>
    <w:rsid w:val="BB7F2968"/>
    <w:rsid w:val="BBFFFA09"/>
    <w:rsid w:val="BDFFC510"/>
    <w:rsid w:val="BF5F7FB6"/>
    <w:rsid w:val="BF9EB9DA"/>
    <w:rsid w:val="BFAFBCE6"/>
    <w:rsid w:val="BFB696A2"/>
    <w:rsid w:val="BFDF36D4"/>
    <w:rsid w:val="BFDF88F1"/>
    <w:rsid w:val="BFEF6E8F"/>
    <w:rsid w:val="C1B5D1A0"/>
    <w:rsid w:val="C5F7C48C"/>
    <w:rsid w:val="C7EF45BE"/>
    <w:rsid w:val="CA5F1CB1"/>
    <w:rsid w:val="CCDF4864"/>
    <w:rsid w:val="CDF62A6D"/>
    <w:rsid w:val="CEDFEB85"/>
    <w:rsid w:val="D2DF5404"/>
    <w:rsid w:val="D4E21391"/>
    <w:rsid w:val="D5BB3ED7"/>
    <w:rsid w:val="D7D70942"/>
    <w:rsid w:val="D7FF55AF"/>
    <w:rsid w:val="DA8D4C10"/>
    <w:rsid w:val="DB7EC565"/>
    <w:rsid w:val="DBFD4CB0"/>
    <w:rsid w:val="DCBF05AD"/>
    <w:rsid w:val="DDB71E72"/>
    <w:rsid w:val="DDBF5CF5"/>
    <w:rsid w:val="DEDF7C59"/>
    <w:rsid w:val="DF7BE9F8"/>
    <w:rsid w:val="DFDE0ADA"/>
    <w:rsid w:val="DFEFF3B4"/>
    <w:rsid w:val="DFFB02B8"/>
    <w:rsid w:val="DFFD782D"/>
    <w:rsid w:val="DFFE8B85"/>
    <w:rsid w:val="DFFFB0C9"/>
    <w:rsid w:val="E5B9CEF3"/>
    <w:rsid w:val="E7FA3E86"/>
    <w:rsid w:val="EBFF7CCE"/>
    <w:rsid w:val="EF75090B"/>
    <w:rsid w:val="EFA37756"/>
    <w:rsid w:val="EFDDD2BE"/>
    <w:rsid w:val="EFEDB337"/>
    <w:rsid w:val="EFFDF154"/>
    <w:rsid w:val="EFFF95B0"/>
    <w:rsid w:val="F1EF3895"/>
    <w:rsid w:val="F3D36E39"/>
    <w:rsid w:val="F3D73CC4"/>
    <w:rsid w:val="F3EF7E87"/>
    <w:rsid w:val="F6EB2067"/>
    <w:rsid w:val="F6FFB050"/>
    <w:rsid w:val="F76127D3"/>
    <w:rsid w:val="F7B390F7"/>
    <w:rsid w:val="F7DE5021"/>
    <w:rsid w:val="F7E8CFF7"/>
    <w:rsid w:val="F7FB68DC"/>
    <w:rsid w:val="F945E7EA"/>
    <w:rsid w:val="F97F0054"/>
    <w:rsid w:val="FAE932EB"/>
    <w:rsid w:val="FAF75397"/>
    <w:rsid w:val="FB1CF5C3"/>
    <w:rsid w:val="FB3F506C"/>
    <w:rsid w:val="FBAAB394"/>
    <w:rsid w:val="FBAFCF7C"/>
    <w:rsid w:val="FBDFCDE9"/>
    <w:rsid w:val="FBE6483A"/>
    <w:rsid w:val="FBF7A49F"/>
    <w:rsid w:val="FBFF0FCF"/>
    <w:rsid w:val="FCB61E59"/>
    <w:rsid w:val="FD396301"/>
    <w:rsid w:val="FD3A3C1A"/>
    <w:rsid w:val="FD758268"/>
    <w:rsid w:val="FD9E9789"/>
    <w:rsid w:val="FDDD923B"/>
    <w:rsid w:val="FE3B71BA"/>
    <w:rsid w:val="FEDB986F"/>
    <w:rsid w:val="FEE9AD1F"/>
    <w:rsid w:val="FEF1B668"/>
    <w:rsid w:val="FEF5A47C"/>
    <w:rsid w:val="FF16D043"/>
    <w:rsid w:val="FF5E55B8"/>
    <w:rsid w:val="FF6B8116"/>
    <w:rsid w:val="FF6FC4C9"/>
    <w:rsid w:val="FF9BCE98"/>
    <w:rsid w:val="FFAB94D0"/>
    <w:rsid w:val="FFAF6A72"/>
    <w:rsid w:val="FFBFE082"/>
    <w:rsid w:val="FFD66F8E"/>
    <w:rsid w:val="FFF34FB1"/>
    <w:rsid w:val="FFFD2C78"/>
    <w:rsid w:val="FFFD5AE9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0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2026-01-13T21:58:00Z</dcterms:created>
  <dc:creator>olivi</dc:creator>
  <cp:lastModifiedBy>【祈祷】</cp:lastModifiedBy>
  <cp:lastPrinted>2025-11-25T14:54:00Z</cp:lastPrinted>
  <dcterms:modified xsi:type="dcterms:W3CDTF">2026-09-11T13:36:34Z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