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90CF4F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 xml:space="preserve">公司名称    ：PT SHT INTERNATIONAL </w:t>
      </w:r>
    </w:p>
    <w:p w14:paraId="1004FCC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联系人</w:t>
      </w:r>
      <w:r>
        <w:rPr>
          <w:rFonts w:hint="eastAsia" w:ascii="仿宋" w:hAnsi="仿宋" w:eastAsia="仿宋" w:cs="仿宋"/>
          <w:sz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lang w:val="en-US" w:eastAsia="zh-CN"/>
        </w:rPr>
        <w:t>：Zhang Sansan</w:t>
      </w:r>
    </w:p>
    <w:p w14:paraId="6D6A6996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联系方式    ：13666668888</w:t>
      </w:r>
    </w:p>
    <w:p w14:paraId="3EEF3FC5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</w:rPr>
        <w:t>报价日期</w:t>
      </w:r>
      <w:r>
        <w:rPr>
          <w:rFonts w:hint="eastAsia" w:ascii="仿宋" w:hAnsi="仿宋" w:eastAsia="仿宋" w:cs="仿宋"/>
          <w:sz w:val="24"/>
        </w:rPr>
        <w:tab/>
      </w:r>
      <w:r>
        <w:rPr>
          <w:rFonts w:hint="eastAsia" w:ascii="仿宋" w:hAnsi="仿宋" w:eastAsia="仿宋" w:cs="仿宋"/>
          <w:sz w:val="24"/>
        </w:rPr>
        <w:t>：</w:t>
      </w:r>
      <w:r>
        <w:rPr>
          <w:rFonts w:hint="eastAsia" w:ascii="仿宋" w:hAnsi="仿宋" w:eastAsia="仿宋" w:cs="仿宋"/>
          <w:sz w:val="24"/>
          <w:lang w:val="en-US" w:eastAsia="zh-CN"/>
        </w:rPr>
        <w:t>2026.6.6</w:t>
      </w:r>
    </w:p>
    <w:p w14:paraId="470D7B22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合同号      ：SHM/V/2026/S999</w:t>
      </w:r>
      <w:bookmarkStart w:id="0" w:name="_GoBack"/>
      <w:bookmarkEnd w:id="0"/>
    </w:p>
    <w:p w14:paraId="7B6E2BD9">
      <w:pPr>
        <w:pBdr>
          <w:bottom w:val="single" w:color="4472C4" w:themeColor="accent1" w:sz="4" w:space="1"/>
        </w:pBdr>
        <w:spacing w:before="200" w:after="280"/>
        <w:ind w:left="936" w:right="936"/>
        <w:jc w:val="center"/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14:textFill>
            <w14:solidFill>
              <w14:schemeClr w14:val="accent1"/>
            </w14:solidFill>
          </w14:textFill>
        </w:rPr>
      </w:pP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印尼</w:t>
      </w: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 w:eastAsia="zh-CN"/>
          <w14:textFill>
            <w14:solidFill>
              <w14:schemeClr w14:val="accent1"/>
            </w14:solidFill>
          </w14:textFill>
        </w:rPr>
        <w:t>人力资源</w:t>
      </w: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服务方案</w:t>
      </w:r>
    </w:p>
    <w:p w14:paraId="4C952861">
      <w:pPr>
        <w:pStyle w:val="25"/>
        <w:spacing w:after="0" w:line="240" w:lineRule="auto"/>
        <w:ind w:left="0"/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1.服务内容</w:t>
      </w:r>
    </w:p>
    <w:tbl>
      <w:tblPr>
        <w:tblStyle w:val="11"/>
        <w:tblpPr w:leftFromText="180" w:rightFromText="180" w:vertAnchor="text" w:horzAnchor="page" w:tblpX="1121" w:tblpY="374"/>
        <w:tblOverlap w:val="never"/>
        <w:tblW w:w="100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"/>
        <w:gridCol w:w="2714"/>
        <w:gridCol w:w="695"/>
        <w:gridCol w:w="1847"/>
        <w:gridCol w:w="4347"/>
      </w:tblGrid>
      <w:tr w14:paraId="5C7AC348">
        <w:trPr>
          <w:trHeight w:val="622" w:hRule="atLeast"/>
        </w:trPr>
        <w:tc>
          <w:tcPr>
            <w:tcW w:w="431" w:type="dxa"/>
            <w:shd w:val="clear" w:color="auto" w:fill="BDD6EE" w:themeFill="accent5" w:themeFillTint="66"/>
            <w:vAlign w:val="center"/>
          </w:tcPr>
          <w:p w14:paraId="113AF785">
            <w:pPr>
              <w:spacing w:line="240" w:lineRule="auto"/>
              <w:ind w:left="-288" w:right="-288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序号</w:t>
            </w:r>
          </w:p>
        </w:tc>
        <w:tc>
          <w:tcPr>
            <w:tcW w:w="2714" w:type="dxa"/>
            <w:shd w:val="clear" w:color="auto" w:fill="BDD6EE" w:themeFill="accent5" w:themeFillTint="66"/>
            <w:vAlign w:val="center"/>
          </w:tcPr>
          <w:p w14:paraId="1E365A79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服务内容</w:t>
            </w:r>
          </w:p>
        </w:tc>
        <w:tc>
          <w:tcPr>
            <w:tcW w:w="695" w:type="dxa"/>
            <w:shd w:val="clear" w:color="auto" w:fill="BDD6EE" w:themeFill="accent5" w:themeFillTint="66"/>
            <w:vAlign w:val="center"/>
          </w:tcPr>
          <w:p w14:paraId="08F374A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847" w:type="dxa"/>
            <w:shd w:val="clear" w:color="auto" w:fill="BDD6EE" w:themeFill="accent5" w:themeFillTint="66"/>
            <w:vAlign w:val="center"/>
          </w:tcPr>
          <w:p w14:paraId="7ECEED4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价格</w:t>
            </w:r>
          </w:p>
          <w:p w14:paraId="6371A8FD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(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印尼盾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4347" w:type="dxa"/>
            <w:shd w:val="clear" w:color="auto" w:fill="BDD6EE" w:themeFill="accent5" w:themeFillTint="66"/>
            <w:vAlign w:val="center"/>
          </w:tcPr>
          <w:p w14:paraId="1A6CD6D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  <w:t>备注</w:t>
            </w:r>
          </w:p>
        </w:tc>
      </w:tr>
      <w:tr w14:paraId="5B51BB18">
        <w:trPr>
          <w:trHeight w:val="430" w:hRule="atLeast"/>
        </w:trPr>
        <w:tc>
          <w:tcPr>
            <w:tcW w:w="431" w:type="dxa"/>
            <w:vAlign w:val="center"/>
          </w:tcPr>
          <w:p w14:paraId="11AC512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2714" w:type="dxa"/>
            <w:vAlign w:val="center"/>
          </w:tcPr>
          <w:p w14:paraId="1AB229B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起草或审核公司人事规章制度服务</w:t>
            </w:r>
          </w:p>
        </w:tc>
        <w:tc>
          <w:tcPr>
            <w:tcW w:w="695" w:type="dxa"/>
            <w:vAlign w:val="center"/>
          </w:tcPr>
          <w:p w14:paraId="3FF76EE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847" w:type="dxa"/>
            <w:vAlign w:val="center"/>
          </w:tcPr>
          <w:p w14:paraId="126685D0">
            <w:pPr>
              <w:spacing w:after="0"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  <w:t>0,00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  <w:t>,000</w:t>
            </w:r>
          </w:p>
        </w:tc>
        <w:tc>
          <w:tcPr>
            <w:tcW w:w="4347" w:type="dxa"/>
            <w:vAlign w:val="center"/>
          </w:tcPr>
          <w:p w14:paraId="022833A4">
            <w:pPr>
              <w:pStyle w:val="33"/>
              <w:tabs>
                <w:tab w:val="left" w:pos="527"/>
              </w:tabs>
              <w:spacing w:before="2" w:line="242" w:lineRule="auto"/>
              <w:ind w:left="0" w:right="94"/>
              <w:jc w:val="both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公司成立后只要员工人数超过 10 个人，公司必须持有公司人事规章制度并且向劳动局进行备案。基于 2003 年第 13 号劳动法第 108 款，结合 2020 年第 11 号创造就业法第 188 条款，公司员工人数达到 10 个人以上但未有公司人事规章制度并未向劳动局备案，将处以最高罚款金额为 Rp50,000,000（五千万印尼盾）。公司人事规章制度的内容其中需包含：工作指南和程序、员工权益和义务、员工离职的赔偿计算基准等。每两年需要更新公司人事规章制度并到当地劳动局进行备案。</w:t>
            </w:r>
          </w:p>
        </w:tc>
      </w:tr>
      <w:tr w14:paraId="1DA5E49B">
        <w:trPr>
          <w:trHeight w:val="430" w:hRule="atLeast"/>
        </w:trPr>
        <w:tc>
          <w:tcPr>
            <w:tcW w:w="431" w:type="dxa"/>
            <w:vAlign w:val="center"/>
          </w:tcPr>
          <w:p w14:paraId="3BD9ACC7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2714" w:type="dxa"/>
            <w:vAlign w:val="center"/>
          </w:tcPr>
          <w:p w14:paraId="28C6200B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更新和申报劳工部系统</w:t>
            </w:r>
          </w:p>
        </w:tc>
        <w:tc>
          <w:tcPr>
            <w:tcW w:w="695" w:type="dxa"/>
            <w:vAlign w:val="center"/>
          </w:tcPr>
          <w:p w14:paraId="53C7FFF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47" w:type="dxa"/>
            <w:vAlign w:val="center"/>
          </w:tcPr>
          <w:p w14:paraId="3AB47D61">
            <w:pPr>
              <w:spacing w:after="0"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3,000,000</w:t>
            </w:r>
          </w:p>
        </w:tc>
        <w:tc>
          <w:tcPr>
            <w:tcW w:w="4347" w:type="dxa"/>
            <w:vAlign w:val="center"/>
          </w:tcPr>
          <w:p w14:paraId="393ABE5E">
            <w:pPr>
              <w:pStyle w:val="33"/>
              <w:tabs>
                <w:tab w:val="left" w:pos="527"/>
              </w:tabs>
              <w:spacing w:before="2" w:line="242" w:lineRule="auto"/>
              <w:ind w:left="0" w:right="94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进行劳工部登记是作为公司实施员工福利计划的指标。在劳工部登记被批准之前，有关员工福利计划的要求必须完成（公司是否已在社保和医保中注册）。公司每年需要按时在劳工部系统上更新和申报员工信息。公司有义务在劳工部系统更新并申报员工数据，无论员工是仍在职、刚入职，还是已经离职。如果公司未按时在劳工部系统中将其员工登记或更新信息，公司将被处以 Rp1,000,000 的罚款，或面临 3 个月的监禁。</w:t>
            </w:r>
          </w:p>
        </w:tc>
      </w:tr>
      <w:tr w14:paraId="5B1DDF8C">
        <w:trPr>
          <w:trHeight w:val="430" w:hRule="atLeast"/>
        </w:trPr>
        <w:tc>
          <w:tcPr>
            <w:tcW w:w="431" w:type="dxa"/>
            <w:vAlign w:val="center"/>
          </w:tcPr>
          <w:p w14:paraId="6F6EBA9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2714" w:type="dxa"/>
            <w:vAlign w:val="center"/>
          </w:tcPr>
          <w:p w14:paraId="05F95DC5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起草或审核劳动合同服务</w:t>
            </w:r>
          </w:p>
        </w:tc>
        <w:tc>
          <w:tcPr>
            <w:tcW w:w="695" w:type="dxa"/>
            <w:vAlign w:val="center"/>
          </w:tcPr>
          <w:p w14:paraId="4A8F0E7B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47" w:type="dxa"/>
            <w:vAlign w:val="center"/>
          </w:tcPr>
          <w:p w14:paraId="6D2B5C33">
            <w:pPr>
              <w:spacing w:after="0" w:line="240" w:lineRule="auto"/>
              <w:jc w:val="right"/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</w:rPr>
              <w:t>1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  <w:t>2</w:t>
            </w:r>
            <w:r>
              <w:rPr>
                <w:rFonts w:hint="eastAsia" w:ascii="仿宋" w:hAnsi="仿宋" w:eastAsia="仿宋" w:cs="仿宋"/>
                <w:sz w:val="20"/>
                <w:szCs w:val="20"/>
              </w:rPr>
              <w:t>,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000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  <w:t>,000</w:t>
            </w:r>
          </w:p>
        </w:tc>
        <w:tc>
          <w:tcPr>
            <w:tcW w:w="4347" w:type="dxa"/>
            <w:vAlign w:val="center"/>
          </w:tcPr>
          <w:p w14:paraId="328227FF">
            <w:pPr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印尼的劳动合同分为两种，即 PKWT 固定期工作协议和 PKWTT 无限期工作协议。根据印尼相关法律的规定，有效的劳动合同必须为印尼文版本，其他语言作为辅助参考。在格式和条款方面，也需要按照印尼的法律规定来进行书写。</w:t>
            </w: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  （2）API-P 制造商进口许可</w:t>
            </w:r>
          </w:p>
          <w:p w14:paraId="61DFDF48">
            <w:pPr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         仅提供给用于生产用途而进口原材料或支持生产过程材料的公司。</w:t>
            </w:r>
          </w:p>
          <w:p w14:paraId="337CF05D">
            <w:pPr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</w:p>
        </w:tc>
      </w:tr>
      <w:tr w14:paraId="2E0B6C37">
        <w:trPr>
          <w:trHeight w:val="389" w:hRule="atLeast"/>
        </w:trPr>
        <w:tc>
          <w:tcPr>
            <w:tcW w:w="3840" w:type="dxa"/>
            <w:gridSpan w:val="3"/>
            <w:vAlign w:val="center"/>
          </w:tcPr>
          <w:p w14:paraId="34E29F2A">
            <w:pPr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小计</w:t>
            </w:r>
          </w:p>
        </w:tc>
        <w:tc>
          <w:tcPr>
            <w:tcW w:w="6194" w:type="dxa"/>
            <w:gridSpan w:val="2"/>
            <w:vAlign w:val="center"/>
          </w:tcPr>
          <w:p w14:paraId="3E286084">
            <w:pPr>
              <w:spacing w:line="240" w:lineRule="auto"/>
              <w:jc w:val="left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65,000,000</w:t>
            </w:r>
          </w:p>
        </w:tc>
      </w:tr>
      <w:tr w14:paraId="6F26F530">
        <w:trPr>
          <w:trHeight w:val="389" w:hRule="atLeast"/>
        </w:trPr>
        <w:tc>
          <w:tcPr>
            <w:tcW w:w="3840" w:type="dxa"/>
            <w:gridSpan w:val="3"/>
            <w:vAlign w:val="center"/>
          </w:tcPr>
          <w:p w14:paraId="3DF6899C">
            <w:pPr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优惠价格</w:t>
            </w:r>
          </w:p>
        </w:tc>
        <w:tc>
          <w:tcPr>
            <w:tcW w:w="6194" w:type="dxa"/>
            <w:gridSpan w:val="2"/>
            <w:vAlign w:val="center"/>
          </w:tcPr>
          <w:p w14:paraId="42C41DE9">
            <w:pPr>
              <w:spacing w:line="240" w:lineRule="auto"/>
              <w:jc w:val="left"/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,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000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  <w:t>,000</w:t>
            </w:r>
          </w:p>
        </w:tc>
      </w:tr>
      <w:tr w14:paraId="0ADFA829">
        <w:trPr>
          <w:trHeight w:val="389" w:hRule="atLeast"/>
        </w:trPr>
        <w:tc>
          <w:tcPr>
            <w:tcW w:w="3840" w:type="dxa"/>
            <w:gridSpan w:val="3"/>
            <w:vAlign w:val="center"/>
          </w:tcPr>
          <w:p w14:paraId="07433FAB">
            <w:pPr>
              <w:wordWrap/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 xml:space="preserve">增值税 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  <w:t>11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%</w:t>
            </w:r>
          </w:p>
        </w:tc>
        <w:tc>
          <w:tcPr>
            <w:tcW w:w="6194" w:type="dxa"/>
            <w:gridSpan w:val="2"/>
            <w:vAlign w:val="center"/>
          </w:tcPr>
          <w:p w14:paraId="0244222C">
            <w:pPr>
              <w:spacing w:line="240" w:lineRule="auto"/>
              <w:jc w:val="left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  <w:t>66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,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  <w:t>0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00</w:t>
            </w:r>
          </w:p>
        </w:tc>
      </w:tr>
      <w:tr w14:paraId="15824291">
        <w:trPr>
          <w:trHeight w:val="389" w:hRule="atLeast"/>
        </w:trPr>
        <w:tc>
          <w:tcPr>
            <w:tcW w:w="3840" w:type="dxa"/>
            <w:gridSpan w:val="3"/>
            <w:vAlign w:val="center"/>
          </w:tcPr>
          <w:p w14:paraId="4142ECE3">
            <w:pPr>
              <w:spacing w:line="240" w:lineRule="auto"/>
              <w:jc w:val="right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含税总计</w:t>
            </w:r>
          </w:p>
        </w:tc>
        <w:tc>
          <w:tcPr>
            <w:tcW w:w="6194" w:type="dxa"/>
            <w:gridSpan w:val="2"/>
            <w:vAlign w:val="center"/>
          </w:tcPr>
          <w:p w14:paraId="283F0A7E">
            <w:pPr>
              <w:spacing w:line="240" w:lineRule="auto"/>
              <w:jc w:val="left"/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  <w:t>66,600,000</w:t>
            </w:r>
          </w:p>
        </w:tc>
      </w:tr>
    </w:tbl>
    <w:p w14:paraId="62D007FE">
      <w:pPr>
        <w:pStyle w:val="4"/>
        <w:spacing w:before="78" w:line="240" w:lineRule="auto"/>
        <w:contextualSpacing/>
        <w:rPr>
          <w:rFonts w:hint="eastAsia" w:ascii="仿宋" w:hAnsi="仿宋" w:eastAsia="仿宋" w:cs="仿宋"/>
          <w:b/>
          <w:bCs/>
          <w:color w:val="FF0000"/>
          <w:lang w:eastAsia="zh-CN"/>
        </w:rPr>
      </w:pPr>
      <w:r>
        <w:rPr>
          <w:rFonts w:hint="eastAsia" w:ascii="仿宋" w:hAnsi="仿宋" w:eastAsia="仿宋" w:cs="仿宋"/>
          <w:b/>
          <w:bCs/>
          <w:color w:val="FF0000"/>
          <w:lang w:val="en-US" w:eastAsia="zh-CN"/>
        </w:rPr>
        <w:t>*备注：</w:t>
      </w:r>
    </w:p>
    <w:p w14:paraId="48A56FA3">
      <w:pPr>
        <w:spacing w:after="0" w:line="280" w:lineRule="auto"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以上服务报价不包括：资料快递费（国际）、交通费/差旅费、文件翻译费（如需）</w:t>
      </w:r>
    </w:p>
    <w:p w14:paraId="100083ED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</w:p>
    <w:p w14:paraId="52396BB6">
      <w:pPr>
        <w:spacing w:after="0" w:line="240" w:lineRule="auto"/>
        <w:contextualSpacing/>
        <w:rPr>
          <w:rFonts w:ascii="FangSong" w:hAnsi="FangSong" w:eastAsia="FangSong" w:cs="FangSong"/>
          <w:sz w:val="24"/>
          <w:szCs w:val="24"/>
          <w:lang w:val="en-US"/>
        </w:rPr>
      </w:pPr>
    </w:p>
    <w:p w14:paraId="0E44B949">
      <w:pPr>
        <w:shd w:val="clear" w:color="auto" w:fill="FFFFFF"/>
        <w:spacing w:after="0" w:line="240" w:lineRule="auto"/>
        <w:rPr>
          <w:rFonts w:ascii="FangSong" w:hAnsi="FangSong" w:eastAsia="FangSong"/>
          <w:spacing w:val="-1"/>
          <w:sz w:val="28"/>
          <w:szCs w:val="28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2.付款条件：</w:t>
      </w:r>
    </w:p>
    <w:p w14:paraId="799E55F4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1.同意报价确认合同后，甲方支付合同金额70%作为首付款。</w:t>
      </w:r>
    </w:p>
    <w:p w14:paraId="7BFF7862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2.乙方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 w:eastAsia="zh-CN"/>
        </w:rPr>
        <w:t>完成所有服务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后，甲方支付合同金额30%作为尾款。</w:t>
      </w:r>
    </w:p>
    <w:p w14:paraId="46199DF0">
      <w:pPr>
        <w:spacing w:after="0" w:line="240" w:lineRule="auto"/>
        <w:rPr>
          <w:rFonts w:hint="eastAsia" w:ascii="FangSong" w:hAnsi="FangSong" w:eastAsia="FangSong" w:cs="Times New Roman"/>
          <w:color w:val="000000"/>
          <w:sz w:val="24"/>
          <w:szCs w:val="24"/>
          <w:lang w:val="en-US"/>
        </w:rPr>
      </w:pPr>
    </w:p>
    <w:p w14:paraId="502B4FD9">
      <w:pPr>
        <w:pStyle w:val="25"/>
        <w:spacing w:after="0" w:line="240" w:lineRule="auto"/>
        <w:ind w:left="0"/>
        <w:jc w:val="left"/>
        <w:rPr>
          <w:rFonts w:hint="eastAsia" w:ascii="仿宋" w:hAnsi="仿宋" w:eastAsia="仿宋" w:cs="仿宋"/>
          <w:color w:val="000000"/>
          <w:sz w:val="28"/>
          <w:szCs w:val="28"/>
          <w:lang w:val="en-US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3.服务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流程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时间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及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交付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  <w:lang w:val="en-US" w:eastAsia="zh-CN"/>
        </w:rPr>
        <w:t>文件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清单</w:t>
      </w:r>
    </w:p>
    <w:tbl>
      <w:tblPr>
        <w:tblStyle w:val="11"/>
        <w:tblpPr w:leftFromText="180" w:rightFromText="180" w:vertAnchor="text" w:horzAnchor="page" w:tblpX="1145" w:tblpY="376"/>
        <w:tblOverlap w:val="never"/>
        <w:tblW w:w="527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"/>
        <w:gridCol w:w="2163"/>
        <w:gridCol w:w="1029"/>
        <w:gridCol w:w="3607"/>
        <w:gridCol w:w="2672"/>
      </w:tblGrid>
      <w:tr w14:paraId="7C7B0878">
        <w:trPr>
          <w:trHeight w:val="381" w:hRule="atLeast"/>
        </w:trPr>
        <w:tc>
          <w:tcPr>
            <w:tcW w:w="296" w:type="pct"/>
            <w:vAlign w:val="center"/>
          </w:tcPr>
          <w:p w14:paraId="16B0ADBA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序号</w:t>
            </w:r>
          </w:p>
        </w:tc>
        <w:tc>
          <w:tcPr>
            <w:tcW w:w="1074" w:type="pct"/>
            <w:vAlign w:val="center"/>
          </w:tcPr>
          <w:p w14:paraId="2EC0DEF9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服务内容</w:t>
            </w:r>
          </w:p>
        </w:tc>
        <w:tc>
          <w:tcPr>
            <w:tcW w:w="511" w:type="pct"/>
            <w:vAlign w:val="center"/>
          </w:tcPr>
          <w:p w14:paraId="468C1C5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办理时间</w:t>
            </w:r>
          </w:p>
        </w:tc>
        <w:tc>
          <w:tcPr>
            <w:tcW w:w="1791" w:type="pct"/>
            <w:vAlign w:val="center"/>
          </w:tcPr>
          <w:p w14:paraId="3E570144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流程</w:t>
            </w:r>
          </w:p>
        </w:tc>
        <w:tc>
          <w:tcPr>
            <w:tcW w:w="1326" w:type="pct"/>
            <w:vAlign w:val="center"/>
          </w:tcPr>
          <w:p w14:paraId="3BF7CF7F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  <w:t>服务完成后交付文件</w:t>
            </w:r>
          </w:p>
        </w:tc>
      </w:tr>
      <w:tr w14:paraId="7640713C">
        <w:trPr>
          <w:trHeight w:val="1014" w:hRule="atLeast"/>
        </w:trPr>
        <w:tc>
          <w:tcPr>
            <w:tcW w:w="296" w:type="pct"/>
            <w:vAlign w:val="center"/>
          </w:tcPr>
          <w:p w14:paraId="56D887A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1074" w:type="pct"/>
            <w:vAlign w:val="center"/>
          </w:tcPr>
          <w:p w14:paraId="3BBFFC9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起草或审核公司人事规章制度服务</w:t>
            </w:r>
          </w:p>
        </w:tc>
        <w:tc>
          <w:tcPr>
            <w:tcW w:w="511" w:type="pct"/>
            <w:vAlign w:val="center"/>
          </w:tcPr>
          <w:p w14:paraId="5C93060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1791" w:type="pct"/>
          </w:tcPr>
          <w:p w14:paraId="327E2D9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5E5ACAF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第二步：起草公司人事规章制度（10 个工作日）</w:t>
            </w:r>
          </w:p>
          <w:p w14:paraId="5FA405C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第三步：交付公司人事规章制度（1 个工作日）</w:t>
            </w:r>
          </w:p>
          <w:p w14:paraId="788A480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第四步：提出反馈（仅限于 5 次修改）（如有）</w:t>
            </w:r>
          </w:p>
          <w:p w14:paraId="1684E3A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第五步：进行修改（3 个工作日）</w:t>
            </w:r>
          </w:p>
          <w:p w14:paraId="1B28C556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第六步：交付公司人事规章制度（1 个工作日）</w:t>
            </w:r>
          </w:p>
        </w:tc>
        <w:tc>
          <w:tcPr>
            <w:tcW w:w="1326" w:type="pct"/>
          </w:tcPr>
          <w:p w14:paraId="6AEB8FF5">
            <w:pPr>
              <w:numPr>
                <w:ilvl w:val="0"/>
                <w:numId w:val="1"/>
              </w:numPr>
              <w:spacing w:after="0" w:line="280" w:lineRule="auto"/>
              <w:ind w:left="283" w:leftChars="0" w:hanging="283" w:firstLineChars="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公司人事规章制度</w:t>
            </w:r>
          </w:p>
          <w:p w14:paraId="750EBD45">
            <w:pPr>
              <w:numPr>
                <w:ilvl w:val="0"/>
                <w:numId w:val="1"/>
              </w:numPr>
              <w:spacing w:after="0" w:line="280" w:lineRule="auto"/>
              <w:ind w:left="283" w:leftChars="0" w:hanging="283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公司人事规章制度备案审批批文</w:t>
            </w:r>
          </w:p>
        </w:tc>
      </w:tr>
      <w:tr w14:paraId="7E374DB2">
        <w:trPr>
          <w:trHeight w:val="1014" w:hRule="atLeast"/>
        </w:trPr>
        <w:tc>
          <w:tcPr>
            <w:tcW w:w="296" w:type="pct"/>
            <w:vAlign w:val="center"/>
          </w:tcPr>
          <w:p w14:paraId="061EFA2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1074" w:type="pct"/>
            <w:vAlign w:val="center"/>
          </w:tcPr>
          <w:p w14:paraId="0F8F085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</w:rPr>
              <w:t>办公室租赁选址</w:t>
            </w:r>
          </w:p>
        </w:tc>
        <w:tc>
          <w:tcPr>
            <w:tcW w:w="511" w:type="pct"/>
            <w:vAlign w:val="center"/>
          </w:tcPr>
          <w:p w14:paraId="6569C06A">
            <w:pPr>
              <w:pStyle w:val="9"/>
              <w:numPr>
                <w:ilvl w:val="0"/>
                <w:numId w:val="0"/>
              </w:numPr>
              <w:spacing w:beforeAutospacing="1" w:after="0" w:afterAutospacing="1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id-ID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6个工作日</w:t>
            </w:r>
          </w:p>
        </w:tc>
        <w:tc>
          <w:tcPr>
            <w:tcW w:w="1791" w:type="pct"/>
            <w:vAlign w:val="top"/>
          </w:tcPr>
          <w:p w14:paraId="3EB49A6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23550DC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第二步：在劳工部系统上更新员工的信息（5 个工作日）</w:t>
            </w:r>
          </w:p>
          <w:p w14:paraId="40E9A8E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第三步：在劳工部系统上进行申报（1 个工作日）第九步：企业支付租金、物业费等（3 个工作日）</w:t>
            </w:r>
          </w:p>
          <w:p w14:paraId="276B5AC5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第十步：写字楼交接（5个工作日）</w:t>
            </w:r>
          </w:p>
        </w:tc>
        <w:tc>
          <w:tcPr>
            <w:tcW w:w="1326" w:type="pct"/>
          </w:tcPr>
          <w:p w14:paraId="6662E762">
            <w:pPr>
              <w:pStyle w:val="9"/>
              <w:shd w:val="clear" w:color="auto" w:fill="FFFFFF"/>
              <w:spacing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劳工部登记申报凭证</w:t>
            </w:r>
          </w:p>
        </w:tc>
      </w:tr>
      <w:tr w14:paraId="2A148A86">
        <w:trPr>
          <w:trHeight w:val="1014" w:hRule="atLeast"/>
        </w:trPr>
        <w:tc>
          <w:tcPr>
            <w:tcW w:w="296" w:type="pct"/>
            <w:vAlign w:val="center"/>
          </w:tcPr>
          <w:p w14:paraId="3EE4706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1074" w:type="pct"/>
            <w:vAlign w:val="center"/>
          </w:tcPr>
          <w:p w14:paraId="344B37A3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进口许可</w:t>
            </w:r>
          </w:p>
          <w:p w14:paraId="502F5D03">
            <w:pPr>
              <w:shd w:val="clear" w:color="auto" w:fill="FFFFFF"/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API-U</w:t>
            </w:r>
          </w:p>
        </w:tc>
        <w:tc>
          <w:tcPr>
            <w:tcW w:w="511" w:type="pct"/>
            <w:vAlign w:val="center"/>
          </w:tcPr>
          <w:p w14:paraId="49B48A16">
            <w:pPr>
              <w:tabs>
                <w:tab w:val="left" w:pos="312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3个工作日</w:t>
            </w:r>
          </w:p>
        </w:tc>
        <w:tc>
          <w:tcPr>
            <w:tcW w:w="1791" w:type="pct"/>
          </w:tcPr>
          <w:p w14:paraId="1F9812A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63D11A3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第二步：开会/沟通关于合同内容需求（合同条款大致内容、以及合作模式说明）（如有）</w:t>
            </w:r>
          </w:p>
          <w:p w14:paraId="77054A9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第三步：审核合同（2 个工作日）</w:t>
            </w:r>
          </w:p>
          <w:p w14:paraId="2FFBFB1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第四步：交付合同（1 个工作日）</w:t>
            </w:r>
          </w:p>
          <w:p w14:paraId="1AB346A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第五步：提出反馈（仅限于 3 次修改）（如有）</w:t>
            </w:r>
          </w:p>
          <w:p w14:paraId="72F23FE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第六步：进行修改</w:t>
            </w:r>
          </w:p>
          <w:p w14:paraId="39655170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第七步：交付合同</w:t>
            </w:r>
          </w:p>
        </w:tc>
        <w:tc>
          <w:tcPr>
            <w:tcW w:w="1326" w:type="pct"/>
          </w:tcPr>
          <w:p w14:paraId="1BA253B9">
            <w:pPr>
              <w:tabs>
                <w:tab w:val="left" w:pos="312"/>
              </w:tabs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合同草稿</w:t>
            </w:r>
          </w:p>
        </w:tc>
      </w:tr>
    </w:tbl>
    <w:p w14:paraId="67AEC52F">
      <w:pPr>
        <w:spacing w:after="0" w:line="240" w:lineRule="auto"/>
        <w:rPr>
          <w:rFonts w:hint="eastAsia" w:ascii="FangSong" w:hAnsi="FangSong" w:eastAsia="FangSong" w:cs="宋体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4FBF400">
      <w:pPr>
        <w:spacing w:after="0" w:line="240" w:lineRule="auto"/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4.所需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资料及信息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清单</w:t>
      </w:r>
    </w:p>
    <w:tbl>
      <w:tblPr>
        <w:tblStyle w:val="11"/>
        <w:tblpPr w:leftFromText="180" w:rightFromText="180" w:vertAnchor="text" w:horzAnchor="page" w:tblpX="1145" w:tblpY="422"/>
        <w:tblOverlap w:val="never"/>
        <w:tblW w:w="1010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2219"/>
        <w:gridCol w:w="7229"/>
      </w:tblGrid>
      <w:tr w14:paraId="0CD0FB59">
        <w:tc>
          <w:tcPr>
            <w:tcW w:w="654" w:type="dxa"/>
            <w:vAlign w:val="center"/>
          </w:tcPr>
          <w:p w14:paraId="50CC6137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序号</w:t>
            </w:r>
          </w:p>
        </w:tc>
        <w:tc>
          <w:tcPr>
            <w:tcW w:w="2219" w:type="dxa"/>
            <w:vAlign w:val="center"/>
          </w:tcPr>
          <w:p w14:paraId="4BBA642E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229" w:type="dxa"/>
            <w:vAlign w:val="center"/>
          </w:tcPr>
          <w:p w14:paraId="48A21373">
            <w:pPr>
              <w:snapToGrid w:val="0"/>
              <w:spacing w:after="0" w:line="240" w:lineRule="auto"/>
              <w:ind w:left="-76"/>
              <w:jc w:val="center"/>
              <w:rPr>
                <w:rFonts w:hint="default" w:ascii="仿宋" w:hAnsi="仿宋" w:eastAsia="仿宋" w:cs="仿宋"/>
                <w:b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  <w:t>所需</w:t>
            </w: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资料及信息</w:t>
            </w:r>
          </w:p>
        </w:tc>
      </w:tr>
      <w:tr w14:paraId="776D49AE">
        <w:tc>
          <w:tcPr>
            <w:tcW w:w="654" w:type="dxa"/>
            <w:vAlign w:val="center"/>
          </w:tcPr>
          <w:p w14:paraId="3C58F247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</w:rPr>
              <w:t>1</w:t>
            </w:r>
          </w:p>
        </w:tc>
        <w:tc>
          <w:tcPr>
            <w:tcW w:w="2219" w:type="dxa"/>
            <w:vAlign w:val="center"/>
          </w:tcPr>
          <w:p w14:paraId="60C04297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</w:p>
          <w:p w14:paraId="3B53738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起草或审核公司人事规章制度服务</w:t>
            </w:r>
          </w:p>
        </w:tc>
        <w:tc>
          <w:tcPr>
            <w:tcW w:w="7229" w:type="dxa"/>
          </w:tcPr>
          <w:p w14:paraId="442660E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公司章程</w:t>
            </w:r>
          </w:p>
          <w:p w14:paraId="13CE33C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司法部批文</w:t>
            </w:r>
          </w:p>
          <w:p w14:paraId="3EF0DCC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公司税卡</w:t>
            </w:r>
          </w:p>
          <w:p w14:paraId="1A6E49B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商业登记证</w:t>
            </w:r>
          </w:p>
          <w:p w14:paraId="7BF238B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旧版公司规章制度副本和备案审批函（如之前备案过）</w:t>
            </w:r>
          </w:p>
          <w:p w14:paraId="19F94AD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6. 公司为 BPJS 会员的证书（复印件）</w:t>
            </w:r>
          </w:p>
          <w:p w14:paraId="720C772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7. 社保医保最后付款证明（复印件）</w:t>
            </w:r>
          </w:p>
          <w:p w14:paraId="12906D2A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8. 劳动部颁发的公司工会注册证明（如果公司已有工会组织）</w:t>
            </w:r>
          </w:p>
          <w:p w14:paraId="4594D66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9. 公司工会的组织结构（如果公司已有工会组织）</w:t>
            </w:r>
          </w:p>
          <w:p w14:paraId="21EF31A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10. JSHK 证书</w:t>
            </w:r>
          </w:p>
          <w:p w14:paraId="10A8D59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11. SISNAKER 账户的用户名及密码</w:t>
            </w:r>
          </w:p>
          <w:p w14:paraId="08AFAC3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12. 公司人事部经理的资料（身份证、电话号码、电子邮箱、母亲姓名）</w:t>
            </w:r>
          </w:p>
          <w:p w14:paraId="437C3A6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13. 员工的资料（身份证（复印件）、职务名称、职务识别号、学历、工作协议状态、残疾状态）</w:t>
            </w:r>
          </w:p>
          <w:p w14:paraId="09531CB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14. 公司董事授权给人事部的授权书（律所提供）</w:t>
            </w:r>
          </w:p>
          <w:p w14:paraId="08F441B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15. 公司规章制度备案申请函（律所提供）</w:t>
            </w:r>
          </w:p>
          <w:p w14:paraId="5747594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16. 薪资结构声明函（律所提供）</w:t>
            </w:r>
          </w:p>
          <w:p w14:paraId="19B337F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17. 分公司或业务经营区域声明函（律所提供）</w:t>
            </w:r>
          </w:p>
          <w:p w14:paraId="0D7E6A18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18. 公司未设立工会声明函（律所提供）</w:t>
            </w:r>
          </w:p>
        </w:tc>
      </w:tr>
      <w:tr w14:paraId="607FDC8C">
        <w:tc>
          <w:tcPr>
            <w:tcW w:w="654" w:type="dxa"/>
            <w:vAlign w:val="center"/>
          </w:tcPr>
          <w:p w14:paraId="05AD2DD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</w:rPr>
              <w:t>2</w:t>
            </w:r>
          </w:p>
        </w:tc>
        <w:tc>
          <w:tcPr>
            <w:tcW w:w="2219" w:type="dxa"/>
            <w:vAlign w:val="center"/>
          </w:tcPr>
          <w:p w14:paraId="5FC5767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更新和申报劳工部系统</w:t>
            </w:r>
          </w:p>
        </w:tc>
        <w:tc>
          <w:tcPr>
            <w:tcW w:w="7229" w:type="dxa"/>
          </w:tcPr>
          <w:p w14:paraId="740567F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劳工部系统用户名及密码</w:t>
            </w:r>
          </w:p>
          <w:p w14:paraId="2DA2BBE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员工信息（在职/离职、印尼籍/非印尼籍相关资料）</w:t>
            </w:r>
          </w:p>
          <w:p w14:paraId="6A1D3A6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工作时间（每周五天工作日或每周六天工作日）</w:t>
            </w:r>
          </w:p>
          <w:p w14:paraId="6DA605C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员工的最低工资和最高工资</w:t>
            </w:r>
          </w:p>
          <w:p w14:paraId="0729694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NPP 公司社保号码</w:t>
            </w:r>
          </w:p>
          <w:p w14:paraId="3BCD9ABC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6. 社保医保账户里登记的人数（F2A 社保费用明细、医保费用明细）</w:t>
            </w:r>
          </w:p>
        </w:tc>
      </w:tr>
      <w:tr w14:paraId="7B73B9C1">
        <w:tc>
          <w:tcPr>
            <w:tcW w:w="654" w:type="dxa"/>
            <w:vAlign w:val="center"/>
          </w:tcPr>
          <w:p w14:paraId="38E1815B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</w:rPr>
              <w:t>3</w:t>
            </w:r>
          </w:p>
        </w:tc>
        <w:tc>
          <w:tcPr>
            <w:tcW w:w="2219" w:type="dxa"/>
            <w:vAlign w:val="center"/>
          </w:tcPr>
          <w:p w14:paraId="3E2C5D1F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起草或审核劳动合同服务</w:t>
            </w:r>
          </w:p>
        </w:tc>
        <w:tc>
          <w:tcPr>
            <w:tcW w:w="7229" w:type="dxa"/>
          </w:tcPr>
          <w:p w14:paraId="2062644B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录用通知书（如有）</w:t>
            </w:r>
          </w:p>
          <w:p w14:paraId="312229D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需要审核的合同（如有）</w:t>
            </w:r>
          </w:p>
          <w:p w14:paraId="35B9106A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雇主的公司商业登记证（如有）</w:t>
            </w:r>
          </w:p>
        </w:tc>
      </w:tr>
    </w:tbl>
    <w:p w14:paraId="21D14DDA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</w:p>
    <w:p w14:paraId="6D196257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  <w:t>备注：</w:t>
      </w:r>
    </w:p>
    <w:p w14:paraId="04C4A860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以上办理时间为收集齐所需资料及信息开始的官方办理时间，法定节假日及办证政府机构休息日不算入办理时间。</w:t>
      </w:r>
    </w:p>
    <w:p w14:paraId="4E4052EC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甲方必须提供办理服务所需资料及信息，如因资料及信息不足或提供不及时耽误了办理进度，则所产生的额外费用由甲方承担。</w:t>
      </w:r>
    </w:p>
    <w:p w14:paraId="5A05DCAE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以上服务价格和办理时间按照甲方提供的信息及资料进行评估，如发生变化，则根据最新信息及资料进行价格和时间调整。</w:t>
      </w:r>
    </w:p>
    <w:p w14:paraId="41A2ECF4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未列入本报价单或不属于本报价单服务范围内的服务，将另行报价。</w:t>
      </w:r>
    </w:p>
    <w:p w14:paraId="0E9CD4A2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本报价单中所列“（如需）”服务，须在办理过程中根据甲方实际需求及情况重新评估，最终服务价格、数量及办理时间以评估结果为准。</w:t>
      </w:r>
    </w:p>
    <w:p w14:paraId="205E283A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如果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当地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法规发生变化，乙方有权调整价格及办理时间。</w:t>
      </w:r>
    </w:p>
    <w:p w14:paraId="1EBB7E3B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所有款项汇到指定的银行账户，银行账户信息如下 :</w:t>
      </w:r>
    </w:p>
    <w:p w14:paraId="36ADBC42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>银行名称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</w:rPr>
        <w:t>：</w:t>
      </w:r>
      <w:r>
        <w:rPr>
          <w:rFonts w:hint="eastAsia" w:ascii="仿宋" w:hAnsi="仿宋" w:eastAsia="仿宋" w:cs="仿宋"/>
          <w:b/>
          <w:bCs w:val="0"/>
          <w:sz w:val="20"/>
          <w:szCs w:val="20"/>
          <w:lang w:val="en-US" w:eastAsia="zh-CN"/>
        </w:rPr>
        <w:t>BCA (BANK CENTRAL ASIA)</w:t>
      </w:r>
    </w:p>
    <w:p w14:paraId="634BBBB7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>账号名称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</w:rPr>
        <w:t>：</w:t>
      </w:r>
      <w:r>
        <w:rPr>
          <w:rFonts w:hint="eastAsia" w:ascii="仿宋" w:hAnsi="仿宋" w:eastAsia="仿宋" w:cs="仿宋"/>
          <w:b/>
          <w:bCs w:val="0"/>
          <w:sz w:val="20"/>
          <w:szCs w:val="20"/>
          <w:lang w:val="en-US" w:eastAsia="zh-CN"/>
        </w:rPr>
        <w:t>PT DEIN TALENT SOLUTIONS</w:t>
      </w:r>
    </w:p>
    <w:p w14:paraId="7B9D2E25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>银行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</w:rPr>
        <w:t>账号：</w:t>
      </w:r>
      <w:r>
        <w:rPr>
          <w:rFonts w:hint="eastAsia" w:ascii="仿宋" w:hAnsi="仿宋" w:eastAsia="仿宋" w:cs="仿宋"/>
          <w:b/>
          <w:bCs w:val="0"/>
          <w:sz w:val="20"/>
          <w:szCs w:val="20"/>
          <w:lang w:val="en-US" w:eastAsia="zh-CN"/>
        </w:rPr>
        <w:t>6802 044 409</w:t>
      </w:r>
    </w:p>
    <w:p w14:paraId="32929BFD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>国际银行代码 Swift Code：CENAIDJAXXX</w:t>
      </w:r>
    </w:p>
    <w:p w14:paraId="0E8F88F3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sz w:val="20"/>
          <w:szCs w:val="20"/>
          <w:lang w:val="ms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/>
        </w:rPr>
        <w:t>分行名称：</w:t>
      </w:r>
      <w:r>
        <w:rPr>
          <w:rFonts w:hint="eastAsia" w:ascii="仿宋" w:hAnsi="仿宋" w:eastAsia="仿宋" w:cs="仿宋"/>
          <w:b/>
          <w:bCs w:val="0"/>
          <w:sz w:val="20"/>
          <w:szCs w:val="20"/>
          <w:lang w:val="en-US" w:eastAsia="zh-CN"/>
        </w:rPr>
        <w:t>BCA KCU BINTARO</w:t>
      </w:r>
    </w:p>
    <w:p w14:paraId="50E8B80E">
      <w:pPr>
        <w:pStyle w:val="25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本公司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对客户提供的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纸质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或电子版的证件、资料负有妥善保管和保密义务，不得将上述秘密泄露给任何第三方或用于其他用途。</w:t>
      </w:r>
    </w:p>
    <w:p w14:paraId="5721D5E9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此报价从报价日起生效30天。</w:t>
      </w:r>
    </w:p>
    <w:p w14:paraId="681598B5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4A21B98C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E34F2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A9766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同意报价人：</w:t>
            </w:r>
          </w:p>
        </w:tc>
      </w:tr>
      <w:tr w14:paraId="3B7A9EA9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837E08F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PT DEIN TALENT SOLUTIONS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6CC384F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</w:p>
        </w:tc>
      </w:tr>
    </w:tbl>
    <w:p w14:paraId="2644ABFA">
      <w:pPr>
        <w:spacing w:after="160" w:line="259" w:lineRule="auto"/>
        <w:rPr>
          <w:rFonts w:hint="eastAsia" w:ascii="仿宋" w:hAnsi="仿宋" w:eastAsia="仿宋" w:cs="仿宋"/>
          <w:b/>
          <w:bCs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</w:p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006716">
    <w:pPr>
      <w:pStyle w:val="4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30111E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30111E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F01B37">
    <w:pPr>
      <w:pStyle w:val="5"/>
      <w:wordWrap/>
      <w:spacing w:line="240" w:lineRule="auto"/>
      <w:jc w:val="center"/>
      <w:rPr>
        <w:rFonts w:hint="default" w:ascii="微软雅黑" w:hAnsi="微软雅黑" w:eastAsia="微软雅黑" w:cs="Microsoft JhengHei"/>
        <w:b/>
        <w:bCs/>
        <w:color w:val="0039C2"/>
        <w:sz w:val="36"/>
        <w:szCs w:val="36"/>
        <w:shd w:val="clear" w:color="auto" w:fill="FFFFFF"/>
        <w:lang w:val="en-US" w:eastAsia="zh-CN"/>
      </w:rPr>
    </w:pPr>
    <w:r>
      <w:rPr>
        <w:rFonts w:hint="default" w:ascii="Arial" w:hAnsi="Arial" w:cs="Arial"/>
        <w:b w:val="0"/>
        <w:color w:val="0039C2"/>
        <w:sz w:val="44"/>
        <w:szCs w:val="44"/>
        <w:lang w:eastAsia="zh-CN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column">
            <wp:posOffset>52705</wp:posOffset>
          </wp:positionH>
          <wp:positionV relativeFrom="paragraph">
            <wp:posOffset>-86360</wp:posOffset>
          </wp:positionV>
          <wp:extent cx="949960" cy="935990"/>
          <wp:effectExtent l="0" t="0" r="0" b="0"/>
          <wp:wrapNone/>
          <wp:docPr id="2" name="图片 2" descr="04051c1e8b9f69aa130795ead33a719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04051c1e8b9f69aa130795ead33a7196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49960" cy="9359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default" w:ascii="Arial" w:hAnsi="Arial" w:eastAsia="微软雅黑" w:cs="Arial"/>
        <w:b w:val="0"/>
        <w:bCs/>
        <w:color w:val="0039C2"/>
        <w:sz w:val="44"/>
        <w:szCs w:val="44"/>
        <w:shd w:val="clear" w:color="auto" w:fill="FFFFFF"/>
        <w:lang w:eastAsia="zh-CN"/>
      </w:rPr>
      <w:t>PT DEIN TALENT SOLUTIONS</w:t>
    </w:r>
  </w:p>
  <w:p w14:paraId="7E100001">
    <w:pPr>
      <w:spacing w:after="0" w:line="240" w:lineRule="auto"/>
      <w:jc w:val="right"/>
      <w:rPr>
        <w:rFonts w:hint="default" w:ascii="Arial" w:hAnsi="Arial" w:eastAsia="微软雅黑" w:cs="Arial"/>
        <w:b w:val="0"/>
        <w:bCs w:val="0"/>
        <w:sz w:val="16"/>
        <w:szCs w:val="16"/>
        <w:lang w:val="de-DE" w:eastAsia="zh-CN"/>
      </w:rPr>
    </w:pPr>
    <w:r>
      <w:rPr>
        <w:rFonts w:hint="default" w:ascii="Arial" w:hAnsi="Arial" w:eastAsia="微软雅黑" w:cs="Arial"/>
        <w:b w:val="0"/>
        <w:bCs w:val="0"/>
        <w:sz w:val="16"/>
        <w:szCs w:val="16"/>
        <w:lang w:val="de-DE" w:eastAsia="zh-CN"/>
      </w:rPr>
      <w:t>OFFICE TOWER 3 CIPUTRA INTERNATIONAL LT.5</w:t>
    </w:r>
  </w:p>
  <w:p w14:paraId="7E100002">
    <w:pPr>
      <w:spacing w:after="0" w:line="240" w:lineRule="auto"/>
      <w:jc w:val="right"/>
      <w:rPr>
        <w:rFonts w:hint="default" w:ascii="Arial" w:hAnsi="Arial" w:eastAsia="微软雅黑" w:cs="Arial"/>
        <w:b w:val="0"/>
        <w:bCs w:val="0"/>
        <w:lang w:val="de-DE" w:eastAsia="zh-CN"/>
      </w:rPr>
    </w:pPr>
    <w:r>
      <w:rPr>
        <w:rFonts w:hint="default" w:ascii="Arial" w:hAnsi="Arial" w:eastAsia="微软雅黑" w:cs="Arial"/>
        <w:b w:val="0"/>
        <w:bCs w:val="0"/>
        <w:sz w:val="16"/>
        <w:szCs w:val="16"/>
        <w:lang w:val="de-DE" w:eastAsia="zh-CN"/>
      </w:rPr>
      <w:t>JL. LINGKAR LUAR BARAT BLOK A NO.1 JAKARTA BARAT 11740</w:t>
    </w:r>
  </w:p>
  <w:p w14:paraId="4270C061">
    <w:pPr>
      <w:spacing w:after="0" w:line="240" w:lineRule="auto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default" w:ascii="Arial" w:hAnsi="Arial" w:cs="Arial"/>
        <w:b w:val="0"/>
        <w:bCs w:val="0"/>
      </w:rPr>
      <w:fldChar w:fldCharType="begin"/>
    </w:r>
    <w:r>
      <w:rPr>
        <w:rFonts w:hint="default" w:ascii="Arial" w:hAnsi="Arial" w:cs="Arial"/>
        <w:b w:val="0"/>
        <w:bCs w:val="0"/>
      </w:rPr>
      <w:instrText xml:space="preserve"> HYPERLINK "http://www.shanhaimap.com" </w:instrText>
    </w:r>
    <w:r>
      <w:rPr>
        <w:rFonts w:hint="default" w:ascii="Arial" w:hAnsi="Arial" w:cs="Arial"/>
        <w:b w:val="0"/>
        <w:bCs w:val="0"/>
      </w:rPr>
      <w:fldChar w:fldCharType="separate"/>
    </w:r>
    <w:r>
      <w:rPr>
        <w:rFonts w:hint="default" w:ascii="Arial" w:hAnsi="Arial" w:eastAsia="微软雅黑" w:cs="Arial"/>
        <w:b w:val="0"/>
        <w:bCs w:val="0"/>
        <w:lang w:val="de-DE" w:eastAsia="zh-CN"/>
      </w:rPr>
      <w:fldChar w:fldCharType="end"/>
    </w:r>
    <w:r>
      <w:rPr>
        <w:rFonts w:hint="default" w:ascii="Arial" w:hAnsi="Arial" w:eastAsia="微软雅黑" w:cs="Arial"/>
        <w:b w:val="0"/>
        <w:bCs w:val="0"/>
        <w:lang w:val="de-DE" w:eastAsia="zh-CN"/>
      </w:rPr>
      <w:t>Web: www.shanhaimap.com</w:t>
    </w:r>
  </w:p>
  <w:p w14:paraId="0C937CF4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default" w:ascii="Arial" w:hAnsi="Arial" w:cs="Arial" w:eastAsiaTheme="minorEastAsia"/>
        <w:b w:val="0"/>
        <w:bCs w:val="0"/>
        <w:lang w:eastAsia="zh-CN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-240665</wp:posOffset>
              </wp:positionH>
              <wp:positionV relativeFrom="paragraph">
                <wp:posOffset>77470</wp:posOffset>
              </wp:positionV>
              <wp:extent cx="6405245" cy="0"/>
              <wp:effectExtent l="0" t="19050" r="0" b="19050"/>
              <wp:wrapNone/>
              <wp:docPr id="4" name="直接连接符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4997" cy="0"/>
                      </a:xfrm>
                      <a:prstGeom prst="line">
                        <a:avLst/>
                      </a:prstGeom>
                      <a:noFill/>
                      <a:ln w="38100" cap="flat" cmpd="sng" algn="ctr">
                        <a:solidFill>
                          <a:srgbClr val="0039C2"/>
                        </a:solidFill>
                        <a:prstDash val="solid"/>
                        <a:miter lim="800000"/>
                      </a:ln>
                      <a:effectLst/>
                    </wps:spPr>
                    <wps:bodyPr upright="0"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8.95pt;margin-top:6.1pt;height:0pt;width:504.35pt;z-index:251660288;mso-width-relative:page;mso-height-relative:page;" filled="f" stroked="t" coordsize="21600,21600" o:gfxdata="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FGteK3YAAAACQEAAA8AAAAAAAAAAQAgAAAAIgAAAGRycy9kb3ducmV2LnhtbFBL&#10;AQIUABQAAAAIAIdO4kADmiBv9gEAAMwDAAAOAAAAAAAAAAEAIAAAACcBAABkcnMvZTJvRG9jLnht&#10;bFBLBQYAAAAABgAGAFkBAACPBQAAAAA=&#10;">
              <v:fill on="f" focussize="0,0"/>
              <v:stroke weight="3pt" color="#0039C2" miterlimit="8" joinstyle="miter"/>
              <v:imagedata o:title=""/>
              <o:lock v:ext="edit" aspectratio="f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67DDBBB5"/>
    <w:multiLevelType w:val="singleLevel"/>
    <w:tmpl w:val="67DDBBB5"/>
    <w:lvl w:ilvl="0" w:tentative="0">
      <w:start w:val="1"/>
      <w:numFmt w:val="decimal"/>
      <w:lvlText w:val="%1."/>
      <w:lvlJc w:val="left"/>
      <w:pPr>
        <w:ind w:left="283" w:leftChars="0" w:hanging="283" w:firstLineChars="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7EE448B"/>
    <w:rsid w:val="0C261620"/>
    <w:rsid w:val="0D894C89"/>
    <w:rsid w:val="0F2F332B"/>
    <w:rsid w:val="0FF7D83B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A8F2AE1"/>
    <w:rsid w:val="1BDF7371"/>
    <w:rsid w:val="1D4622ED"/>
    <w:rsid w:val="1D636CF6"/>
    <w:rsid w:val="1D874AD8"/>
    <w:rsid w:val="1D8E094C"/>
    <w:rsid w:val="1DAD3962"/>
    <w:rsid w:val="1DDA5B1A"/>
    <w:rsid w:val="20045643"/>
    <w:rsid w:val="20256A06"/>
    <w:rsid w:val="2080575F"/>
    <w:rsid w:val="21630240"/>
    <w:rsid w:val="21C200C6"/>
    <w:rsid w:val="220B4883"/>
    <w:rsid w:val="23FC3C42"/>
    <w:rsid w:val="252E07FB"/>
    <w:rsid w:val="26396546"/>
    <w:rsid w:val="271A305E"/>
    <w:rsid w:val="278D02FC"/>
    <w:rsid w:val="2A356F5A"/>
    <w:rsid w:val="2B7E18C1"/>
    <w:rsid w:val="2CEB4EE3"/>
    <w:rsid w:val="2DBD6BB4"/>
    <w:rsid w:val="2E63007C"/>
    <w:rsid w:val="2FB499DB"/>
    <w:rsid w:val="2FC40845"/>
    <w:rsid w:val="2FEF6C8F"/>
    <w:rsid w:val="30995A74"/>
    <w:rsid w:val="31817E9E"/>
    <w:rsid w:val="31B86B15"/>
    <w:rsid w:val="33EB570D"/>
    <w:rsid w:val="36CC1840"/>
    <w:rsid w:val="3777BE6A"/>
    <w:rsid w:val="37B737C7"/>
    <w:rsid w:val="3ACB7C1F"/>
    <w:rsid w:val="3B42554A"/>
    <w:rsid w:val="3B7B68CC"/>
    <w:rsid w:val="3BBD0D5C"/>
    <w:rsid w:val="3BFB1C88"/>
    <w:rsid w:val="3DD94C85"/>
    <w:rsid w:val="3E2DB948"/>
    <w:rsid w:val="3E7E24C5"/>
    <w:rsid w:val="3EC9243F"/>
    <w:rsid w:val="3EEA7278"/>
    <w:rsid w:val="3F5D4C38"/>
    <w:rsid w:val="3F5F591B"/>
    <w:rsid w:val="3F8F8417"/>
    <w:rsid w:val="3F9285E0"/>
    <w:rsid w:val="3FCC083B"/>
    <w:rsid w:val="412A2E87"/>
    <w:rsid w:val="429B3DB9"/>
    <w:rsid w:val="44CC6046"/>
    <w:rsid w:val="44D4386D"/>
    <w:rsid w:val="45454746"/>
    <w:rsid w:val="47177187"/>
    <w:rsid w:val="474D3D17"/>
    <w:rsid w:val="479B514F"/>
    <w:rsid w:val="48BF66C2"/>
    <w:rsid w:val="48E16CB8"/>
    <w:rsid w:val="4B13594E"/>
    <w:rsid w:val="4D9BFC77"/>
    <w:rsid w:val="501A4937"/>
    <w:rsid w:val="514C17ED"/>
    <w:rsid w:val="526468BE"/>
    <w:rsid w:val="533FFD10"/>
    <w:rsid w:val="55265695"/>
    <w:rsid w:val="55593312"/>
    <w:rsid w:val="557D4C35"/>
    <w:rsid w:val="55F24813"/>
    <w:rsid w:val="57FCA9B7"/>
    <w:rsid w:val="58544147"/>
    <w:rsid w:val="586C3602"/>
    <w:rsid w:val="5AAD29D4"/>
    <w:rsid w:val="5BAE9153"/>
    <w:rsid w:val="5BFFDFBD"/>
    <w:rsid w:val="5CFFAAE3"/>
    <w:rsid w:val="5D5DEE61"/>
    <w:rsid w:val="5DDE82A2"/>
    <w:rsid w:val="5DE6A359"/>
    <w:rsid w:val="5E1D09D0"/>
    <w:rsid w:val="5E7C22F4"/>
    <w:rsid w:val="5E9F754A"/>
    <w:rsid w:val="5FF67928"/>
    <w:rsid w:val="608B23E6"/>
    <w:rsid w:val="618C45B4"/>
    <w:rsid w:val="62034376"/>
    <w:rsid w:val="620B2291"/>
    <w:rsid w:val="63201AF6"/>
    <w:rsid w:val="635C20CB"/>
    <w:rsid w:val="65354B2E"/>
    <w:rsid w:val="6773BE62"/>
    <w:rsid w:val="677EF487"/>
    <w:rsid w:val="67F7C66E"/>
    <w:rsid w:val="68F87327"/>
    <w:rsid w:val="694D610D"/>
    <w:rsid w:val="699975D9"/>
    <w:rsid w:val="6AAA0A08"/>
    <w:rsid w:val="6ADF11D7"/>
    <w:rsid w:val="6BFAA11C"/>
    <w:rsid w:val="6C0A7533"/>
    <w:rsid w:val="6D08089B"/>
    <w:rsid w:val="6D2B3276"/>
    <w:rsid w:val="6DA31384"/>
    <w:rsid w:val="6EFF96FB"/>
    <w:rsid w:val="6F23736B"/>
    <w:rsid w:val="6F9F408B"/>
    <w:rsid w:val="6FF7E971"/>
    <w:rsid w:val="6FFF2A41"/>
    <w:rsid w:val="70FB4485"/>
    <w:rsid w:val="73073E7D"/>
    <w:rsid w:val="7313696E"/>
    <w:rsid w:val="74047794"/>
    <w:rsid w:val="75391269"/>
    <w:rsid w:val="757F47BA"/>
    <w:rsid w:val="75D7FC35"/>
    <w:rsid w:val="75D90501"/>
    <w:rsid w:val="75F6721C"/>
    <w:rsid w:val="766E3CB5"/>
    <w:rsid w:val="77757F77"/>
    <w:rsid w:val="78EC4051"/>
    <w:rsid w:val="78FDC56F"/>
    <w:rsid w:val="793D4655"/>
    <w:rsid w:val="799A617B"/>
    <w:rsid w:val="79AA779A"/>
    <w:rsid w:val="7B7140CA"/>
    <w:rsid w:val="7B7723FB"/>
    <w:rsid w:val="7B7F242A"/>
    <w:rsid w:val="7B99ECB8"/>
    <w:rsid w:val="7BBF05E9"/>
    <w:rsid w:val="7BDD543D"/>
    <w:rsid w:val="7BEF1595"/>
    <w:rsid w:val="7BFF29AE"/>
    <w:rsid w:val="7BFFB43E"/>
    <w:rsid w:val="7D1E5E3A"/>
    <w:rsid w:val="7DB73519"/>
    <w:rsid w:val="7DB84119"/>
    <w:rsid w:val="7DF6FB41"/>
    <w:rsid w:val="7E86468E"/>
    <w:rsid w:val="7EBDEAAE"/>
    <w:rsid w:val="7EBF65EC"/>
    <w:rsid w:val="7EE995B2"/>
    <w:rsid w:val="7EEF77BA"/>
    <w:rsid w:val="7EFF68D4"/>
    <w:rsid w:val="7EFFCD06"/>
    <w:rsid w:val="7F33813B"/>
    <w:rsid w:val="7F65D40C"/>
    <w:rsid w:val="7F7B8623"/>
    <w:rsid w:val="7FAA638C"/>
    <w:rsid w:val="7FCD8404"/>
    <w:rsid w:val="7FD7615D"/>
    <w:rsid w:val="7FEF52C2"/>
    <w:rsid w:val="7FF63B06"/>
    <w:rsid w:val="7FF7552A"/>
    <w:rsid w:val="7FF84809"/>
    <w:rsid w:val="7FFFAE4C"/>
    <w:rsid w:val="87EFD2EC"/>
    <w:rsid w:val="8EFE4491"/>
    <w:rsid w:val="97DF8C8D"/>
    <w:rsid w:val="9BD7EF83"/>
    <w:rsid w:val="9D7F3FB9"/>
    <w:rsid w:val="9EDFBD6A"/>
    <w:rsid w:val="ACFD12B7"/>
    <w:rsid w:val="AFD5D583"/>
    <w:rsid w:val="AFFD733D"/>
    <w:rsid w:val="B4F77CFC"/>
    <w:rsid w:val="BB7F2968"/>
    <w:rsid w:val="BCBF31BA"/>
    <w:rsid w:val="BDFFC510"/>
    <w:rsid w:val="BE73AF21"/>
    <w:rsid w:val="BF652171"/>
    <w:rsid w:val="BF7EF310"/>
    <w:rsid w:val="BF9EB9DA"/>
    <w:rsid w:val="BFAFBCE6"/>
    <w:rsid w:val="BFDF36D4"/>
    <w:rsid w:val="BFEF6E8F"/>
    <w:rsid w:val="C5F7C48C"/>
    <w:rsid w:val="C7EF45BE"/>
    <w:rsid w:val="C9776CA5"/>
    <w:rsid w:val="CA5F1CB1"/>
    <w:rsid w:val="CCDF4864"/>
    <w:rsid w:val="CDF62A6D"/>
    <w:rsid w:val="D2DF5404"/>
    <w:rsid w:val="D5BB3ED7"/>
    <w:rsid w:val="D6D74270"/>
    <w:rsid w:val="D7D70942"/>
    <w:rsid w:val="D7FF55AF"/>
    <w:rsid w:val="D8D95E14"/>
    <w:rsid w:val="DABB83B1"/>
    <w:rsid w:val="DB7D6CD6"/>
    <w:rsid w:val="DB7EC565"/>
    <w:rsid w:val="DBFD4CB0"/>
    <w:rsid w:val="DCBF05AD"/>
    <w:rsid w:val="DDB71E72"/>
    <w:rsid w:val="DDEB3F64"/>
    <w:rsid w:val="DEDF7C59"/>
    <w:rsid w:val="DF7BE9F8"/>
    <w:rsid w:val="DFDE0ADA"/>
    <w:rsid w:val="DFEFF3B4"/>
    <w:rsid w:val="DFFA153B"/>
    <w:rsid w:val="DFFB02B8"/>
    <w:rsid w:val="DFFD782D"/>
    <w:rsid w:val="E5B9CEF3"/>
    <w:rsid w:val="E7AFA3C1"/>
    <w:rsid w:val="E7FA3E86"/>
    <w:rsid w:val="EAAF40F5"/>
    <w:rsid w:val="EB7EE707"/>
    <w:rsid w:val="EF75090B"/>
    <w:rsid w:val="EFDDD2BE"/>
    <w:rsid w:val="EFEDB337"/>
    <w:rsid w:val="EFFDF154"/>
    <w:rsid w:val="EFFF95B0"/>
    <w:rsid w:val="F1FF538E"/>
    <w:rsid w:val="F3D73CC4"/>
    <w:rsid w:val="F3EF7E87"/>
    <w:rsid w:val="F6EB2067"/>
    <w:rsid w:val="F6FFB050"/>
    <w:rsid w:val="F7330877"/>
    <w:rsid w:val="F76127D3"/>
    <w:rsid w:val="F7778386"/>
    <w:rsid w:val="F7E8CFF7"/>
    <w:rsid w:val="F7EF7DBC"/>
    <w:rsid w:val="F945E7EA"/>
    <w:rsid w:val="F9F6BE31"/>
    <w:rsid w:val="FAE932EB"/>
    <w:rsid w:val="FAF75397"/>
    <w:rsid w:val="FB3F506C"/>
    <w:rsid w:val="FBAFCF7C"/>
    <w:rsid w:val="FBDFCDE9"/>
    <w:rsid w:val="FBE6483A"/>
    <w:rsid w:val="FBED0BF7"/>
    <w:rsid w:val="FBF7A49F"/>
    <w:rsid w:val="FBFF0FCF"/>
    <w:rsid w:val="FD396301"/>
    <w:rsid w:val="FD3A3C1A"/>
    <w:rsid w:val="FD9E9789"/>
    <w:rsid w:val="FDFF37FC"/>
    <w:rsid w:val="FEDB986F"/>
    <w:rsid w:val="FEDFB795"/>
    <w:rsid w:val="FEE9AD1F"/>
    <w:rsid w:val="FEF1B668"/>
    <w:rsid w:val="FF16D043"/>
    <w:rsid w:val="FF5E55B8"/>
    <w:rsid w:val="FF6FC4C9"/>
    <w:rsid w:val="FF9BCE98"/>
    <w:rsid w:val="FFAB94D0"/>
    <w:rsid w:val="FFAF6A72"/>
    <w:rsid w:val="FFBFE082"/>
    <w:rsid w:val="FFD66F8E"/>
    <w:rsid w:val="FFFD2C78"/>
    <w:rsid w:val="FFFDD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5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1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er Char"/>
    <w:basedOn w:val="12"/>
    <w:link w:val="7"/>
    <w:qFormat/>
    <w:uiPriority w:val="99"/>
    <w:rPr>
      <w:lang w:val="id-ID"/>
    </w:rPr>
  </w:style>
  <w:style w:type="paragraph" w:styleId="16">
    <w:name w:val="Intense Quote"/>
    <w:basedOn w:val="1"/>
    <w:next w:val="1"/>
    <w:link w:val="17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7">
    <w:name w:val="Intense Quote Char"/>
    <w:basedOn w:val="12"/>
    <w:link w:val="16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8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19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0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1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3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4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List Paragraph"/>
    <w:basedOn w:val="1"/>
    <w:link w:val="43"/>
    <w:qFormat/>
    <w:uiPriority w:val="34"/>
    <w:pPr>
      <w:ind w:left="720"/>
      <w:contextualSpacing/>
    </w:pPr>
  </w:style>
  <w:style w:type="table" w:customStyle="1" w:styleId="26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3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4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0">
    <w:name w:val="normaltextrun"/>
    <w:basedOn w:val="12"/>
    <w:qFormat/>
    <w:uiPriority w:val="0"/>
  </w:style>
  <w:style w:type="character" w:customStyle="1" w:styleId="41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2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3">
    <w:name w:val="List Paragraph Char"/>
    <w:link w:val="25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4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5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5693</Words>
  <Characters>6585</Characters>
  <Lines>58</Lines>
  <Paragraphs>16</Paragraphs>
  <TotalTime>1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2026-01-14T04:58:00Z</dcterms:created>
  <dc:creator>olivi</dc:creator>
  <cp:lastModifiedBy>【祈祷】</cp:lastModifiedBy>
  <cp:lastPrinted>2025-11-25T21:54:00Z</cp:lastPrinted>
  <dcterms:modified xsi:type="dcterms:W3CDTF">2026-09-12T16:08:36Z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