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1EF84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公司名称：</w:t>
      </w:r>
    </w:p>
    <w:p w14:paraId="7C5150D9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联系人  ：</w:t>
      </w:r>
    </w:p>
    <w:p w14:paraId="37E089F8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联系方式：</w:t>
      </w:r>
    </w:p>
    <w:p w14:paraId="13B052FC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报价日期：2026年9月11日</w:t>
      </w:r>
    </w:p>
    <w:p w14:paraId="4A60F652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合同号  ：</w:t>
      </w:r>
    </w:p>
    <w:p w14:paraId="434F8FE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仿宋" w:hAnsi="仿宋" w:eastAsia="仿宋" w:cs="仿宋"/>
          <w:b/>
          <w:bCs/>
          <w:color w:val="4472C4"/>
          <w:sz w:val="40"/>
          <w:szCs w:val="40"/>
          <w:lang w:val="en-US" w:eastAsia="zh-CN"/>
        </w:rPr>
        <w:t>外资公司注册及医疗器械产品服务方案</w:t>
      </w:r>
    </w:p>
    <w:p w14:paraId="3E0412C8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6ABEF991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220FEE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01AF367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136C498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/>
            <w:vAlign w:val="center"/>
          </w:tcPr>
          <w:p w14:paraId="661923C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16A28E3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(越南盾)</w:t>
            </w:r>
          </w:p>
        </w:tc>
        <w:tc>
          <w:tcPr>
            <w:tcW w:w="4251" w:type="dxa"/>
            <w:shd w:val="clear" w:color="auto" w:fill="BDD6EE"/>
            <w:vAlign w:val="center"/>
          </w:tcPr>
          <w:p w14:paraId="4D7E3EB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25165699">
        <w:trPr>
          <w:trHeight w:val="430" w:hRule="atLeast"/>
        </w:trPr>
        <w:tc>
          <w:tcPr>
            <w:tcW w:w="431" w:type="dxa"/>
            <w:vAlign w:val="top"/>
          </w:tcPr>
          <w:p w14:paraId="3FA6E46A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69D5CA6D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65" w:type="dxa"/>
            <w:vAlign w:val="top"/>
          </w:tcPr>
          <w:p w14:paraId="0A68B38C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7050C1AB">
            <w:pPr>
              <w:spacing w:after="0" w:line="280" w:lineRule="auto"/>
              <w:jc w:val="right"/>
              <w:rPr>
                <w:rFonts w:hint="default"/>
                <w:b/>
                <w:bCs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3C34BB6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注册外资公司的基本要求：公司名称格式为公司+类型+别名；一般行业无明确规定注册资本数额，通常建议注册资本不低于30亿越南盾；大多数行业可以100%外资，部分行业对外资有限制条件（如广告99.9%、运输49%或51%等）；股东必须是外资且至少一名（个人/公司），另需至少一名法定代表人；注册地址可使用虚拟或实体地址，某些行业必须使用实体地址，且办公室须位于商业用地，不能使用公寓、集体房地址注册。注册资本须在公司营业执照（ERC）签发之日起90天内完成实缴，逾期实缴会面临罚款。取得营业执照后，按个别行业要求还需另外申请经营许可等其他资质许可证件。</w:t>
            </w:r>
          </w:p>
        </w:tc>
      </w:tr>
      <w:tr w14:paraId="38B932DA">
        <w:trPr>
          <w:trHeight w:val="430" w:hRule="atLeast"/>
        </w:trPr>
        <w:tc>
          <w:tcPr>
            <w:tcW w:w="431" w:type="dxa"/>
            <w:vAlign w:val="top"/>
          </w:tcPr>
          <w:p w14:paraId="5E815F5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7A987D95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65" w:type="dxa"/>
            <w:vAlign w:val="top"/>
          </w:tcPr>
          <w:p w14:paraId="3BCE0AAD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74C1BE05">
            <w:pPr>
              <w:spacing w:after="0" w:line="280" w:lineRule="auto"/>
              <w:jc w:val="right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262B7A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类、D类医疗器械属于中高风险、高风险的医疗器械，例如C类：用于骨折矫形的夹板、螺丝、电动手术刀等；D类：新冠病毒检测试剂盒等。医疗器械标准公布编号也称为医疗器械的流通编号，取得证书后编号才可以正常进口流通，编号永久有效。办理时间315个工作日，其中卫生部受理审批时间为300个工作日，适用于官方不要求修改补充的情况；如产品已取得由部分特定主管机构签发的《自由销售证明书》或《上市许可》，办理时间约为120–180个工作日。注：特殊费用面议，不提供发票。</w:t>
            </w:r>
          </w:p>
        </w:tc>
      </w:tr>
      <w:tr w14:paraId="066821F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E3E36A0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4476D5FC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4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1E38F982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13799DB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 xml:space="preserve">增值税 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3F488220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672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358ACDFD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641B546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70297FA9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9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</w:tbl>
    <w:p w14:paraId="12E34529">
      <w:pPr>
        <w:spacing w:after="0" w:line="280" w:lineRule="auto"/>
      </w:pPr>
    </w:p>
    <w:p w14:paraId="2C3D4341">
      <w:pPr>
        <w:spacing w:after="0" w:line="280" w:lineRule="auto"/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08B188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29F2E5D7">
      <w:pPr>
        <w:spacing w:after="0" w:line="280" w:lineRule="auto"/>
        <w:ind w:firstLine="720" w:firstLineChars="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文件翻译费；</w:t>
      </w:r>
    </w:p>
    <w:p w14:paraId="0A96F990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国际快递邮寄费；</w:t>
      </w:r>
    </w:p>
    <w:p w14:paraId="5118C29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银行转账手续费。</w:t>
      </w:r>
    </w:p>
    <w:p w14:paraId="4C56872C">
      <w:pPr>
        <w:spacing w:before="100" w:after="0" w:line="280" w:lineRule="auto"/>
      </w:pPr>
    </w:p>
    <w:p w14:paraId="655E9305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340964C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甲方应在收到发票后 5 个工作日内支付合同金额的 100%。</w:t>
      </w:r>
    </w:p>
    <w:p w14:paraId="4F772E85">
      <w:pPr>
        <w:spacing w:after="0" w:line="280" w:lineRule="auto"/>
      </w:pPr>
    </w:p>
    <w:p w14:paraId="723F0839">
      <w:pPr>
        <w:numPr>
          <w:ilvl w:val="0"/>
          <w:numId w:val="1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p w14:paraId="6C719869">
      <w:pPr>
        <w:numPr>
          <w:ilvl w:val="0"/>
          <w:numId w:val="0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87"/>
        <w:gridCol w:w="3523"/>
        <w:gridCol w:w="2671"/>
      </w:tblGrid>
      <w:tr w14:paraId="1C4EF32A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6D27A80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1DAD03F">
            <w:pPr>
              <w:spacing w:after="0" w:line="28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lang w:val="en-US" w:eastAsia="zh-CN"/>
              </w:rPr>
              <w:t>服务内容</w:t>
            </w:r>
          </w:p>
        </w:tc>
        <w:tc>
          <w:tcPr>
            <w:tcW w:w="1087" w:type="dxa"/>
            <w:shd w:val="clear" w:color="auto" w:fill="BDD6EE"/>
            <w:vAlign w:val="center"/>
          </w:tcPr>
          <w:p w14:paraId="703167D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23" w:type="dxa"/>
            <w:shd w:val="clear" w:color="auto" w:fill="BDD6EE"/>
            <w:vAlign w:val="center"/>
          </w:tcPr>
          <w:p w14:paraId="01A1C1C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678D23A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7F1316D6">
        <w:trPr>
          <w:trHeight w:val="430" w:hRule="atLeast"/>
        </w:trPr>
        <w:tc>
          <w:tcPr>
            <w:tcW w:w="596" w:type="dxa"/>
            <w:vAlign w:val="top"/>
          </w:tcPr>
          <w:p w14:paraId="52EBA9F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67ADC15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1087" w:type="dxa"/>
            <w:vAlign w:val="top"/>
          </w:tcPr>
          <w:p w14:paraId="31EF58C8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21个工作日</w:t>
            </w:r>
          </w:p>
        </w:tc>
        <w:tc>
          <w:tcPr>
            <w:tcW w:w="3523" w:type="dxa"/>
            <w:vAlign w:val="top"/>
          </w:tcPr>
          <w:p w14:paraId="4C0FAFA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CF497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第二步：检查申请文件</w:t>
            </w:r>
          </w:p>
          <w:p w14:paraId="5BEB8CF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第三步：准备申请文件</w:t>
            </w:r>
          </w:p>
          <w:p w14:paraId="351ABAB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第四步：提交投资许可证的申请文件+财政厅受理审批</w:t>
            </w:r>
          </w:p>
          <w:p w14:paraId="487AC3A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第五步：财政厅颁发投资许可证</w:t>
            </w:r>
          </w:p>
          <w:p w14:paraId="6038B0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第六步：提交营业执照的申请文件+财政厅受理审批</w:t>
            </w:r>
          </w:p>
          <w:p w14:paraId="72AFE22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第七步：财政厅颁发营业执照原件</w:t>
            </w:r>
          </w:p>
          <w:p w14:paraId="22C6947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第八步：刻制公章</w:t>
            </w:r>
          </w:p>
          <w:p w14:paraId="2D575A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第九步：检查所有文件</w:t>
            </w:r>
          </w:p>
        </w:tc>
        <w:tc>
          <w:tcPr>
            <w:tcW w:w="2671" w:type="dxa"/>
            <w:vAlign w:val="top"/>
          </w:tcPr>
          <w:p w14:paraId="784BFD4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越南公司章程（原件）</w:t>
            </w:r>
          </w:p>
          <w:p w14:paraId="6054432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投资许可证（IRC）（原件）</w:t>
            </w:r>
          </w:p>
          <w:p w14:paraId="3E37853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营业执照（ERC）（电子版）</w:t>
            </w:r>
          </w:p>
          <w:p w14:paraId="5CE746C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公司公章（实物）</w:t>
            </w:r>
          </w:p>
        </w:tc>
      </w:tr>
      <w:tr w14:paraId="12E5B5E5">
        <w:trPr>
          <w:trHeight w:val="430" w:hRule="atLeast"/>
        </w:trPr>
        <w:tc>
          <w:tcPr>
            <w:tcW w:w="596" w:type="dxa"/>
            <w:vAlign w:val="top"/>
          </w:tcPr>
          <w:p w14:paraId="3A2983B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1C4C482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1087" w:type="dxa"/>
            <w:vAlign w:val="top"/>
          </w:tcPr>
          <w:p w14:paraId="6022620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315个工作日</w:t>
            </w:r>
          </w:p>
        </w:tc>
        <w:tc>
          <w:tcPr>
            <w:tcW w:w="3523" w:type="dxa"/>
            <w:vAlign w:val="top"/>
          </w:tcPr>
          <w:p w14:paraId="48D9DAD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3B5523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第二步：注册电子账户并起草文件（10个工作日）</w:t>
            </w:r>
          </w:p>
          <w:p w14:paraId="36C792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第三步：提交申请文件并收到缴纳官费通知（5个工作日）</w:t>
            </w:r>
          </w:p>
          <w:p w14:paraId="35564D1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第四步：卫生部受理审批（300个工作日）</w:t>
            </w:r>
          </w:p>
          <w:p w14:paraId="3356CE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第五步：交付文件</w:t>
            </w:r>
          </w:p>
        </w:tc>
        <w:tc>
          <w:tcPr>
            <w:tcW w:w="2671" w:type="dxa"/>
            <w:vAlign w:val="top"/>
          </w:tcPr>
          <w:p w14:paraId="305AF4A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C、D类医疗器械公布证书（电子版）</w:t>
            </w:r>
          </w:p>
          <w:p w14:paraId="3DA1F75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电子账户（如有）</w:t>
            </w:r>
          </w:p>
        </w:tc>
      </w:tr>
    </w:tbl>
    <w:p w14:paraId="03CF83CD">
      <w:pPr>
        <w:spacing w:after="0" w:line="280" w:lineRule="auto"/>
      </w:pPr>
    </w:p>
    <w:p w14:paraId="2CCB574F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0D016B85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4B50C2B3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1FE0754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0257A3CF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2F6F3E7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2CE37943">
        <w:trPr>
          <w:trHeight w:val="430" w:hRule="atLeast"/>
        </w:trPr>
        <w:tc>
          <w:tcPr>
            <w:tcW w:w="654" w:type="dxa"/>
            <w:vAlign w:val="top"/>
          </w:tcPr>
          <w:p w14:paraId="2690C38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1535F59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229" w:type="dxa"/>
            <w:vAlign w:val="top"/>
          </w:tcPr>
          <w:p w14:paraId="2999E99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公司名称（越南语全名、英语全名、英语缩写）、经营范围、注册资本等基础信息</w:t>
            </w:r>
          </w:p>
          <w:p w14:paraId="213B490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注册地址资料（越南公证件原件）：</w:t>
            </w:r>
          </w:p>
          <w:p w14:paraId="7D3F377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（1）租赁合同</w:t>
            </w:r>
          </w:p>
          <w:p w14:paraId="5660248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（2）土地使用权证书</w:t>
            </w:r>
          </w:p>
          <w:p w14:paraId="2622200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（3）业主营业执照或身份证</w:t>
            </w:r>
          </w:p>
          <w:p w14:paraId="3C3F5FC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越南公司法定代表人越南身份证或护照（越南公证原件）（中国大陆护照需要同时提供原件）</w:t>
            </w:r>
          </w:p>
          <w:p w14:paraId="64001B5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股东证件：</w:t>
            </w:r>
          </w:p>
          <w:p w14:paraId="24EB38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（1）个人作为股东</w:t>
            </w:r>
          </w:p>
          <w:p w14:paraId="6586409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护照（越南公证原件）（中国大陆护照同时需要原件）</w:t>
            </w:r>
          </w:p>
          <w:p w14:paraId="6AD6DC7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银行出具的个人银行余额证明确认书（领事合法化认证件和对应越南语翻译公证件的扫描件及原件）</w:t>
            </w:r>
          </w:p>
          <w:p w14:paraId="5C1F280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（2）公司作为股东</w:t>
            </w:r>
          </w:p>
          <w:p w14:paraId="55A3DF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公司法律文件，如营业执照、公司章程、审计报告等（按照股东的国籍与注册省份来确认）（领事合法化认证件和对应越南语翻译公证件的扫描件及原件）</w:t>
            </w:r>
          </w:p>
          <w:p w14:paraId="675D435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银行出具的公司账户余额证明确认书（领事合法化认证件和对应越南语翻译公证件的扫描件及原件）</w:t>
            </w:r>
          </w:p>
          <w:p w14:paraId="27AF1D8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c. 股东公司法定代表人护照（扫描件）（中国大陆护照需要同时提供原件）</w:t>
            </w:r>
          </w:p>
        </w:tc>
      </w:tr>
      <w:tr w14:paraId="53C1F88E">
        <w:trPr>
          <w:trHeight w:val="430" w:hRule="atLeast"/>
        </w:trPr>
        <w:tc>
          <w:tcPr>
            <w:tcW w:w="654" w:type="dxa"/>
            <w:vAlign w:val="top"/>
          </w:tcPr>
          <w:p w14:paraId="62AEBBC0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6B4D2E5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229" w:type="dxa"/>
            <w:vAlign w:val="top"/>
          </w:tcPr>
          <w:p w14:paraId="38072ED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营业执照（ERC）（扫描件）</w:t>
            </w:r>
          </w:p>
          <w:p w14:paraId="09A18A3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CFS（领事合法化认证件和对应越南语翻译公证件的扫描件及原件）</w:t>
            </w:r>
          </w:p>
          <w:p w14:paraId="25ED0AC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LOA（领事合法化认证件和对应越南语翻译公证件的扫描件及原件）</w:t>
            </w:r>
          </w:p>
          <w:p w14:paraId="14D9D9D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ISO 13485（扫描件/电子版）</w:t>
            </w:r>
          </w:p>
          <w:p w14:paraId="751CC65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产品质量合格证或等效证书（扫描件/电子版）</w:t>
            </w:r>
          </w:p>
          <w:p w14:paraId="239BA3B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保修政策说明文件（扫描件/电子版）</w:t>
            </w:r>
          </w:p>
          <w:p w14:paraId="413700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产品使用说明书、用户手册（扫描件/电子版）</w:t>
            </w:r>
          </w:p>
          <w:p w14:paraId="6DB0ED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CDST 档案（电子版）</w:t>
            </w:r>
          </w:p>
          <w:p w14:paraId="7919D4B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产品技术描述文件（功能、参数）（扫描件/电子版）</w:t>
            </w:r>
          </w:p>
          <w:p w14:paraId="14EF8B7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产品包装标签、产品图片（扫描件/电子版）</w:t>
            </w:r>
          </w:p>
          <w:p w14:paraId="3DA32E5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11. 越南公司信息（越南电话、邮箱）</w:t>
            </w:r>
          </w:p>
        </w:tc>
      </w:tr>
    </w:tbl>
    <w:p w14:paraId="516A32A9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ACA8BF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05E94B5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757040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0B816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银行名称 Tên Ngân hàng：Vietcombank - Chi nhánh Thăng Long</w:t>
      </w:r>
    </w:p>
    <w:p w14:paraId="53ECE917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账号名称 Chủ tài khoản：Cong ty TNHH Shanhaimap Viet Nam</w:t>
      </w:r>
    </w:p>
    <w:p w14:paraId="2C620C0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银行账号 Tài khoản：104 799 1200 (VND)</w:t>
      </w:r>
    </w:p>
    <w:p w14:paraId="2E3C1EDD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国际银行代码 Mã ngân hàng quốc tế (SWIFT)：BFTVVNVX</w:t>
      </w:r>
    </w:p>
    <w:p w14:paraId="4D4EBBC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分行地址 Địa chỉ：Tòa Nhà Pvoil Phú Thọ, Số 148 Hoàng Quốc Việt, Phường Nghĩa Tân, Quận Cầu Giấy, Thành Phố Hà Nội</w:t>
      </w:r>
    </w:p>
    <w:p w14:paraId="624BC7F1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对客户提供的纸板或电子版的证件、资料负有妥善保管和保密义务，不得将上述秘密泄露给任何第三方或用于其他用途。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1D2811D7">
      <w:pPr>
        <w:spacing w:before="80" w:after="0" w:line="280" w:lineRule="auto"/>
      </w:pPr>
    </w:p>
    <w:p w14:paraId="77115708">
      <w:pPr>
        <w:spacing w:before="80" w:after="0" w:line="280" w:lineRule="auto"/>
      </w:pPr>
    </w:p>
    <w:p w14:paraId="28A27E4D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239528C2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19B3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3516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同意报价人：</w:t>
            </w:r>
          </w:p>
        </w:tc>
      </w:tr>
      <w:tr w14:paraId="5ABFB82B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0C8E8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2"/>
                <w:szCs w:val="22"/>
                <w:lang w:val="en-US" w:eastAsia="zh-CN"/>
              </w:rPr>
              <w:t>CÔNG TY TNHH SHANHAIMAP VIỆT NAM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62F7C984">
            <w:pPr>
              <w:spacing w:after="0" w:line="280" w:lineRule="auto"/>
            </w:pPr>
          </w:p>
        </w:tc>
      </w:tr>
    </w:tbl>
    <w:p w14:paraId="56E18BE9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ns5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 mc:Ignorable="w14 w15 wp14">
  <w:p w14:paraId="2AF01B37">
    <w:pPr>
      <w:pStyle w:val="5"/>
      <w:wordWrap/>
      <w:spacing w:line="240" w:lineRule="auto"/>
      <w:jc w:val="right"/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</w:pPr>
    <w:bookmarkStart w:id="0" w:name="_GoBack"/>
    <w:r>
      <w:rPr>
        <w:rFonts w:hint="default" w:ascii="Arial" w:hAnsi="Arial" w:cs="Arial"/>
        <w:b w:val="0"/>
        <w:color w:val="0039C2"/>
        <w:sz w:val="40"/>
        <w:szCs w:val="40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44450</wp:posOffset>
          </wp:positionH>
          <wp:positionV relativeFrom="paragraph">
            <wp:posOffset>-86995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noChangeAspect="1"/>
          </wp:cNvGraphicFramePr>
          <a:graphic>
            <a:graphicData uri="http://schemas.openxmlformats.org/drawingml/2006/picture">
              <ns5:pic>
                <ns5:nvPicPr>
                  <ns5:cNvPr id="6" name="Picture 6" descr="Logo Baru SHM 2021"/>
                  <ns5:cNvPicPr>
                    <a:picLocks noChangeAspect="1"/>
                  </ns5:cNvPicPr>
                </ns5:nvPicPr>
                <ns5:blipFill>
                  <a:blip r:embed="rId1"/>
                  <a:stretch>
                    <a:fillRect/>
                  </a:stretch>
                </ns5:blipFill>
                <ns5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ns5:spPr>
              </ns5:pic>
            </a:graphicData>
          </a:graphic>
        </wp:anchor>
      </w:drawing>
    </w:r>
    <w:bookmarkEnd w:id="0"/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CÔNG TY TNHH SHANHAIMAP VIỆT NAM</w:t>
    </w:r>
  </w:p>
  <w:p w14:paraId="665C0EDC">
    <w:pPr>
      <w:spacing w:after="0" w:line="240" w:lineRule="auto"/>
      <w:jc w:val="right"/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</w:pPr>
    <w:r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  <w:t>Tầng 6, Số 89 Phan Đình Phùng, Phường Phú Nhuận,TPHCM.</w:t>
    </w:r>
  </w:p>
  <w:p w14:paraId="7A0C4B7B">
    <w:pPr>
      <w:spacing w:after="0" w:line="240" w:lineRule="auto"/>
      <w:jc w:val="right"/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</w:pPr>
    <w:r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  <w:t>越南胡志明市富润坊潘廷逢街 89 号 6 楼</w:t>
    </w:r>
  </w:p>
  <w:p w14:paraId="024ECF3D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4270C061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-259080</wp:posOffset>
          </wp:positionH>
          <wp:positionV relativeFrom="paragraph">
            <wp:posOffset>38735</wp:posOffset>
          </wp:positionV>
          <wp:extent cx="6405245" cy="0"/>
          <wp:effectExtent l="0" t="19050" r="0" b="19050"/>
          <wp:wrapNone/>
          <wp:docPr id="4" name="直接连接符 4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6404997" cy="0"/>
                  </a:xfrm>
                  <a:prstGeom prst="line">
                    <a:avLst/>
                  </a:prstGeom>
                  <a:noFill/>
                  <a:ln w="38100" cap="flat" cmpd="sng" algn="ctr">
                    <a:solidFill>
                      <a:srgbClr val="0039C2"/>
                    </a:solidFill>
                    <a:prstDash val="solid"/>
                    <a:miter lim="800000"/>
                  </a:ln>
                  <a:effectLst/>
                </wps:spPr>
                <wps:bodyPr upright="0"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FC5382"/>
    <w:multiLevelType w:val="singleLevel"/>
    <w:tmpl w:val="F6FC5382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8BD3A1C"/>
    <w:rsid w:val="0C261620"/>
    <w:rsid w:val="0D894C89"/>
    <w:rsid w:val="0EEAEE03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1FDFA56B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AFF38B9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F5F591B"/>
    <w:rsid w:val="3F8F8417"/>
    <w:rsid w:val="3F9285E0"/>
    <w:rsid w:val="3FA65A02"/>
    <w:rsid w:val="3FCC083B"/>
    <w:rsid w:val="412A2E87"/>
    <w:rsid w:val="429B3DB9"/>
    <w:rsid w:val="43F76AE6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4EF5E022"/>
    <w:rsid w:val="501A4937"/>
    <w:rsid w:val="514C17ED"/>
    <w:rsid w:val="526468BE"/>
    <w:rsid w:val="533FFD10"/>
    <w:rsid w:val="55265695"/>
    <w:rsid w:val="55593312"/>
    <w:rsid w:val="557D4C35"/>
    <w:rsid w:val="55F24813"/>
    <w:rsid w:val="57F103D0"/>
    <w:rsid w:val="58544147"/>
    <w:rsid w:val="586C3602"/>
    <w:rsid w:val="5BFFDFBD"/>
    <w:rsid w:val="5D5DEE61"/>
    <w:rsid w:val="5DDE82A2"/>
    <w:rsid w:val="5DE6A359"/>
    <w:rsid w:val="5E1D09D0"/>
    <w:rsid w:val="5E7C22F4"/>
    <w:rsid w:val="5E9F754A"/>
    <w:rsid w:val="5FEEA0D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B5E437"/>
    <w:rsid w:val="6FBD6F2E"/>
    <w:rsid w:val="6FF7E971"/>
    <w:rsid w:val="70FB4485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86468E"/>
    <w:rsid w:val="7EBF65EC"/>
    <w:rsid w:val="7EE995B2"/>
    <w:rsid w:val="7EFF68D4"/>
    <w:rsid w:val="7EFFCD06"/>
    <w:rsid w:val="7FAA638C"/>
    <w:rsid w:val="7FD7615D"/>
    <w:rsid w:val="7FF63B06"/>
    <w:rsid w:val="7FF7552A"/>
    <w:rsid w:val="7FF84809"/>
    <w:rsid w:val="7FFF7AD8"/>
    <w:rsid w:val="7FFFAE4C"/>
    <w:rsid w:val="87EFD2EC"/>
    <w:rsid w:val="8EFE4491"/>
    <w:rsid w:val="9137EFD5"/>
    <w:rsid w:val="97DF8C8D"/>
    <w:rsid w:val="98EEE348"/>
    <w:rsid w:val="9AB70D98"/>
    <w:rsid w:val="9BD7EF83"/>
    <w:rsid w:val="9D7F3FB9"/>
    <w:rsid w:val="9EDFBD6A"/>
    <w:rsid w:val="9FBFA513"/>
    <w:rsid w:val="AFFD733D"/>
    <w:rsid w:val="B8EBFB59"/>
    <w:rsid w:val="BB7F2968"/>
    <w:rsid w:val="BBFFFA09"/>
    <w:rsid w:val="BDFFC510"/>
    <w:rsid w:val="BF5F7FB6"/>
    <w:rsid w:val="BF9EB9DA"/>
    <w:rsid w:val="BFAFBCE6"/>
    <w:rsid w:val="BFB696A2"/>
    <w:rsid w:val="BFDF36D4"/>
    <w:rsid w:val="BFEF6E8F"/>
    <w:rsid w:val="C1B5D1A0"/>
    <w:rsid w:val="C5F7C48C"/>
    <w:rsid w:val="C7EF45BE"/>
    <w:rsid w:val="CA5F1CB1"/>
    <w:rsid w:val="CC3DB5C9"/>
    <w:rsid w:val="CCDF4864"/>
    <w:rsid w:val="CDF62A6D"/>
    <w:rsid w:val="D2DF5404"/>
    <w:rsid w:val="D5BB3ED7"/>
    <w:rsid w:val="D772738B"/>
    <w:rsid w:val="D7B244E0"/>
    <w:rsid w:val="D7D70942"/>
    <w:rsid w:val="D7FF55AF"/>
    <w:rsid w:val="DA8D4C10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DFFE0420"/>
    <w:rsid w:val="E5B9CEF3"/>
    <w:rsid w:val="E7FA3E86"/>
    <w:rsid w:val="EBFF7CCE"/>
    <w:rsid w:val="EF75090B"/>
    <w:rsid w:val="EFDDD2BE"/>
    <w:rsid w:val="EFDFDC01"/>
    <w:rsid w:val="EFEDB337"/>
    <w:rsid w:val="EFFDF154"/>
    <w:rsid w:val="EFFF95B0"/>
    <w:rsid w:val="F1EF3895"/>
    <w:rsid w:val="F3D73CC4"/>
    <w:rsid w:val="F3EF7E87"/>
    <w:rsid w:val="F6C7654A"/>
    <w:rsid w:val="F6EB2067"/>
    <w:rsid w:val="F6FFB050"/>
    <w:rsid w:val="F76127D3"/>
    <w:rsid w:val="F79F4BF1"/>
    <w:rsid w:val="F7E8CFF7"/>
    <w:rsid w:val="F7FB68DC"/>
    <w:rsid w:val="F8BE094E"/>
    <w:rsid w:val="F945E7EA"/>
    <w:rsid w:val="FAE932EB"/>
    <w:rsid w:val="FAF75397"/>
    <w:rsid w:val="FB1CF5C3"/>
    <w:rsid w:val="FB3F506C"/>
    <w:rsid w:val="FBAAB394"/>
    <w:rsid w:val="FBAFCF7C"/>
    <w:rsid w:val="FBDFB133"/>
    <w:rsid w:val="FBDFCDE9"/>
    <w:rsid w:val="FBE6483A"/>
    <w:rsid w:val="FBF7A49F"/>
    <w:rsid w:val="FBFF0FCF"/>
    <w:rsid w:val="FCB61E59"/>
    <w:rsid w:val="FD396301"/>
    <w:rsid w:val="FD3A3C1A"/>
    <w:rsid w:val="FD9E9789"/>
    <w:rsid w:val="FE3B71BA"/>
    <w:rsid w:val="FEDB986F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EB7B29"/>
    <w:rsid w:val="FFF34FB1"/>
    <w:rsid w:val="FFFD2C78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140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2026-09-13T09:35:11Z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