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D985C" w14:textId="77777777" w:rsidR="00433A6D" w:rsidRPr="00D8772C" w:rsidRDefault="00433A6D" w:rsidP="00D877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72C">
        <w:rPr>
          <w:rFonts w:ascii="Times New Roman" w:hAnsi="Times New Roman" w:cs="Times New Roman"/>
          <w:b/>
          <w:sz w:val="24"/>
          <w:szCs w:val="24"/>
          <w:u w:val="single"/>
        </w:rPr>
        <w:t xml:space="preserve">UDPS2233 MULTIVARIATE ANALSYSIS </w:t>
      </w:r>
    </w:p>
    <w:p w14:paraId="31FADD5C" w14:textId="77777777" w:rsidR="008B4598" w:rsidRPr="00D8772C" w:rsidRDefault="00433A6D" w:rsidP="00D877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72C">
        <w:rPr>
          <w:rFonts w:ascii="Times New Roman" w:hAnsi="Times New Roman" w:cs="Times New Roman"/>
          <w:b/>
          <w:sz w:val="24"/>
          <w:szCs w:val="24"/>
          <w:u w:val="single"/>
        </w:rPr>
        <w:t>ASSIGNMENT 2</w:t>
      </w:r>
    </w:p>
    <w:p w14:paraId="000AE765" w14:textId="77777777" w:rsidR="00B01BFD" w:rsidRPr="00D8772C" w:rsidRDefault="00B01BFD" w:rsidP="00D87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8772C">
        <w:rPr>
          <w:rFonts w:ascii="Times New Roman" w:hAnsi="Times New Roman" w:cs="Times New Roman"/>
          <w:sz w:val="24"/>
          <w:szCs w:val="24"/>
          <w:u w:val="single"/>
        </w:rPr>
        <w:t>1.0 Cleaning data and Determine Number of Factor</w:t>
      </w:r>
    </w:p>
    <w:p w14:paraId="3D5BC06B" w14:textId="2F2395F5" w:rsidR="00E77CCA" w:rsidRPr="00D8772C" w:rsidRDefault="00433A6D" w:rsidP="00D87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The SMAData.xlsx contains answers for 22 questions in a questionnaire that tests the smart phone addiction and it contains 289 observations. After analysing the data</w:t>
      </w:r>
      <w:r w:rsidR="008C453C" w:rsidRPr="00D8772C">
        <w:rPr>
          <w:rFonts w:ascii="Times New Roman" w:hAnsi="Times New Roman" w:cs="Times New Roman"/>
          <w:sz w:val="24"/>
          <w:szCs w:val="24"/>
        </w:rPr>
        <w:t>,</w:t>
      </w:r>
      <w:r w:rsidRPr="00D8772C">
        <w:rPr>
          <w:rFonts w:ascii="Times New Roman" w:hAnsi="Times New Roman" w:cs="Times New Roman"/>
          <w:sz w:val="24"/>
          <w:szCs w:val="24"/>
        </w:rPr>
        <w:t xml:space="preserve"> some miss</w:t>
      </w:r>
      <w:r w:rsidR="009164C7" w:rsidRPr="00D8772C">
        <w:rPr>
          <w:rFonts w:ascii="Times New Roman" w:hAnsi="Times New Roman" w:cs="Times New Roman"/>
          <w:sz w:val="24"/>
          <w:szCs w:val="24"/>
        </w:rPr>
        <w:t>ing values has been found in observation ID 81 and ID 154, therefore the row of ID 81 and ID 154</w:t>
      </w:r>
      <w:r w:rsidR="00E77CCA" w:rsidRPr="00D8772C">
        <w:rPr>
          <w:rFonts w:ascii="Times New Roman" w:hAnsi="Times New Roman" w:cs="Times New Roman"/>
          <w:sz w:val="24"/>
          <w:szCs w:val="24"/>
        </w:rPr>
        <w:t xml:space="preserve"> were deleted, so the dataset is remaining only 287 observations.</w:t>
      </w:r>
    </w:p>
    <w:p w14:paraId="03F1A197" w14:textId="77777777" w:rsidR="00433A6D" w:rsidRPr="00D8772C" w:rsidRDefault="00E77CCA" w:rsidP="00D87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 xml:space="preserve">After cleaning data, scree-plot of parallel analysis method was used to determine the number of factors in </w:t>
      </w:r>
      <w:proofErr w:type="spellStart"/>
      <w:r w:rsidRPr="00D8772C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D8772C">
        <w:rPr>
          <w:rFonts w:ascii="Times New Roman" w:hAnsi="Times New Roman" w:cs="Times New Roman"/>
          <w:sz w:val="24"/>
          <w:szCs w:val="24"/>
        </w:rPr>
        <w:t xml:space="preserve"> by using </w:t>
      </w:r>
      <w:proofErr w:type="spellStart"/>
      <w:proofErr w:type="gramStart"/>
      <w:r w:rsidRPr="00D8772C">
        <w:rPr>
          <w:rFonts w:ascii="Times New Roman" w:hAnsi="Times New Roman" w:cs="Times New Roman"/>
          <w:sz w:val="24"/>
          <w:szCs w:val="24"/>
        </w:rPr>
        <w:t>fa.parallel</w:t>
      </w:r>
      <w:proofErr w:type="spellEnd"/>
      <w:proofErr w:type="gramEnd"/>
      <w:r w:rsidRPr="00D8772C">
        <w:rPr>
          <w:rFonts w:ascii="Times New Roman" w:hAnsi="Times New Roman" w:cs="Times New Roman"/>
          <w:sz w:val="24"/>
          <w:szCs w:val="24"/>
        </w:rPr>
        <w:t>( ) function; parallel analysis suggested that 4 factors and components should be used</w:t>
      </w:r>
      <w:r w:rsidR="002115F2" w:rsidRPr="00D8772C">
        <w:rPr>
          <w:rFonts w:ascii="Times New Roman" w:hAnsi="Times New Roman" w:cs="Times New Roman"/>
          <w:sz w:val="24"/>
          <w:szCs w:val="24"/>
        </w:rPr>
        <w:t>.</w:t>
      </w:r>
    </w:p>
    <w:p w14:paraId="67D0E15D" w14:textId="681F4106" w:rsidR="002115F2" w:rsidRPr="00D8772C" w:rsidRDefault="002115F2" w:rsidP="00D87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1E4D7" wp14:editId="0CD4F7EE">
            <wp:extent cx="5859172" cy="3714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2249" r="42285" b="11242"/>
                    <a:stretch/>
                  </pic:blipFill>
                  <pic:spPr bwMode="auto">
                    <a:xfrm>
                      <a:off x="0" y="0"/>
                      <a:ext cx="5864065" cy="37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E6C4F" w14:textId="7C90A289" w:rsidR="00764CC8" w:rsidRPr="00D8772C" w:rsidRDefault="00764CC8" w:rsidP="00D877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Figure 1. The result of parallel analysis</w:t>
      </w:r>
    </w:p>
    <w:p w14:paraId="25932962" w14:textId="31F0803B" w:rsidR="00D8772C" w:rsidRPr="00D8772C" w:rsidRDefault="00D8772C" w:rsidP="00D877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741E03" wp14:editId="03CBEB49">
                <wp:simplePos x="0" y="0"/>
                <wp:positionH relativeFrom="column">
                  <wp:posOffset>1104900</wp:posOffset>
                </wp:positionH>
                <wp:positionV relativeFrom="paragraph">
                  <wp:posOffset>1564005</wp:posOffset>
                </wp:positionV>
                <wp:extent cx="466725" cy="45720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2C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7pt;margin-top:123.15pt;width:36.75pt;height:36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" strokecolor="black [3040]">
                <v:stroke endarrow="block"/>
              </v:shape>
            </w:pict>
          </mc:Fallback>
        </mc:AlternateContent>
      </w:r>
      <w:r w:rsidRPr="00D87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321C3" wp14:editId="15895184">
            <wp:extent cx="3933856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74" cy="315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E99C" w14:textId="14B8F87F" w:rsidR="00D8772C" w:rsidRPr="00D8772C" w:rsidRDefault="00D8772C" w:rsidP="00D877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Figure 2. Scree Plot</w:t>
      </w:r>
    </w:p>
    <w:p w14:paraId="1721D544" w14:textId="0A218CE8" w:rsidR="00D8772C" w:rsidRPr="00D8772C" w:rsidRDefault="00D8772C" w:rsidP="00D87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74BAD" w14:textId="3294089C" w:rsidR="00D8772C" w:rsidRPr="00D8772C" w:rsidRDefault="00D8772C" w:rsidP="00D87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 xml:space="preserve">In Figure 2, the scree plot with an arrow indicating the point of inflexion on the curve. Thus, 4 number of factors are considered to run in the SPSS with two different methods. </w:t>
      </w:r>
    </w:p>
    <w:p w14:paraId="420EF2BB" w14:textId="77777777" w:rsidR="00D8772C" w:rsidRPr="00D8772C" w:rsidRDefault="00D8772C" w:rsidP="00D87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29FE0" w14:textId="77777777" w:rsidR="009164C7" w:rsidRPr="00D8772C" w:rsidRDefault="00B01BFD" w:rsidP="00D87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8772C">
        <w:rPr>
          <w:rFonts w:ascii="Times New Roman" w:hAnsi="Times New Roman" w:cs="Times New Roman"/>
          <w:sz w:val="24"/>
          <w:szCs w:val="24"/>
          <w:u w:val="single"/>
        </w:rPr>
        <w:lastRenderedPageBreak/>
        <w:t>2.0 Factor Analysis</w:t>
      </w:r>
    </w:p>
    <w:p w14:paraId="099C2E38" w14:textId="77777777" w:rsidR="00B01BFD" w:rsidRPr="00D8772C" w:rsidRDefault="00B01BFD" w:rsidP="00D87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8772C">
        <w:rPr>
          <w:rFonts w:ascii="Times New Roman" w:hAnsi="Times New Roman" w:cs="Times New Roman"/>
          <w:sz w:val="24"/>
          <w:szCs w:val="24"/>
          <w:u w:val="single"/>
        </w:rPr>
        <w:t>2.1 Covariance structure</w:t>
      </w:r>
    </w:p>
    <w:p w14:paraId="47A5C5A7" w14:textId="77777777" w:rsidR="00B01BFD" w:rsidRPr="00D8772C" w:rsidRDefault="00B01BFD" w:rsidP="00D87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D9C710F" w14:textId="77777777" w:rsidR="00B01BFD" w:rsidRPr="00D8772C" w:rsidRDefault="00B01BFD" w:rsidP="00D87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5AA1AAD" w14:textId="77777777" w:rsidR="00B01BFD" w:rsidRPr="00D8772C" w:rsidRDefault="00B01BFD" w:rsidP="00D8772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8772C">
        <w:rPr>
          <w:rFonts w:ascii="Times New Roman" w:hAnsi="Times New Roman" w:cs="Times New Roman"/>
          <w:sz w:val="24"/>
          <w:szCs w:val="24"/>
          <w:u w:val="single"/>
        </w:rPr>
        <w:t xml:space="preserve">2.2 </w:t>
      </w:r>
      <w:r w:rsidRPr="00D8772C">
        <w:rPr>
          <w:rFonts w:ascii="Times New Roman" w:hAnsi="Times New Roman" w:cs="Times New Roman"/>
          <w:bCs/>
          <w:sz w:val="24"/>
          <w:szCs w:val="24"/>
          <w:u w:val="single"/>
        </w:rPr>
        <w:t>Kaiser-Meyer-Olkin (KMO) and Bartlett’s Test (measures the strength of relationship among the variables)</w:t>
      </w:r>
    </w:p>
    <w:tbl>
      <w:tblPr>
        <w:tblW w:w="585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8"/>
        <w:gridCol w:w="2220"/>
        <w:gridCol w:w="1174"/>
      </w:tblGrid>
      <w:tr w:rsidR="00B01BFD" w:rsidRPr="00D8772C" w14:paraId="554521EC" w14:textId="77777777" w:rsidTr="00D8772C">
        <w:trPr>
          <w:cantSplit/>
          <w:jc w:val="center"/>
        </w:trPr>
        <w:tc>
          <w:tcPr>
            <w:tcW w:w="58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E2A99" w14:textId="77777777" w:rsidR="00B01BFD" w:rsidRPr="00D8772C" w:rsidRDefault="00B01BFD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KMO and Bartlett's Test</w:t>
            </w:r>
          </w:p>
        </w:tc>
      </w:tr>
      <w:tr w:rsidR="00B01BFD" w:rsidRPr="00D8772C" w14:paraId="7A613D03" w14:textId="77777777" w:rsidTr="00D8772C">
        <w:trPr>
          <w:cantSplit/>
          <w:jc w:val="center"/>
        </w:trPr>
        <w:tc>
          <w:tcPr>
            <w:tcW w:w="467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8333B9E" w14:textId="77777777" w:rsidR="00B01BFD" w:rsidRPr="00D8772C" w:rsidRDefault="00B01BFD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Kaiser-Meyer-Olkin Measure of Sampling Adequacy.</w:t>
            </w:r>
          </w:p>
        </w:tc>
        <w:tc>
          <w:tcPr>
            <w:tcW w:w="117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82F0EB" w14:textId="77777777" w:rsidR="00B01BFD" w:rsidRPr="00D8772C" w:rsidRDefault="00B01BFD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.859</w:t>
            </w:r>
          </w:p>
        </w:tc>
      </w:tr>
      <w:tr w:rsidR="00B01BFD" w:rsidRPr="00D8772C" w14:paraId="6617DCC5" w14:textId="77777777" w:rsidTr="00D8772C">
        <w:trPr>
          <w:cantSplit/>
          <w:jc w:val="center"/>
        </w:trPr>
        <w:tc>
          <w:tcPr>
            <w:tcW w:w="245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F6E8D87" w14:textId="77777777" w:rsidR="00B01BFD" w:rsidRPr="00D8772C" w:rsidRDefault="00B01BFD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Bartlett's Test of Sphericity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38748B" w14:textId="77777777" w:rsidR="00B01BFD" w:rsidRPr="00D8772C" w:rsidRDefault="00B01BFD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Approx. Chi-Square</w:t>
            </w:r>
          </w:p>
        </w:tc>
        <w:tc>
          <w:tcPr>
            <w:tcW w:w="11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DBE61E" w14:textId="77777777" w:rsidR="00B01BFD" w:rsidRPr="00D8772C" w:rsidRDefault="00B01BFD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1767.275</w:t>
            </w:r>
          </w:p>
        </w:tc>
      </w:tr>
      <w:tr w:rsidR="00B01BFD" w:rsidRPr="00D8772C" w14:paraId="143DD5ED" w14:textId="77777777" w:rsidTr="00D8772C">
        <w:trPr>
          <w:cantSplit/>
          <w:jc w:val="center"/>
        </w:trPr>
        <w:tc>
          <w:tcPr>
            <w:tcW w:w="245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C7D6388" w14:textId="77777777" w:rsidR="00B01BFD" w:rsidRPr="00D8772C" w:rsidRDefault="00B01BFD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603CD0" w14:textId="77777777" w:rsidR="00B01BFD" w:rsidRPr="00D8772C" w:rsidRDefault="00B01BFD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</w:t>
            </w:r>
          </w:p>
        </w:tc>
        <w:tc>
          <w:tcPr>
            <w:tcW w:w="117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09BA53" w14:textId="77777777" w:rsidR="00B01BFD" w:rsidRPr="00D8772C" w:rsidRDefault="00B01BFD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</w:t>
            </w:r>
          </w:p>
        </w:tc>
      </w:tr>
      <w:tr w:rsidR="00B01BFD" w:rsidRPr="00D8772C" w14:paraId="4033F62D" w14:textId="77777777" w:rsidTr="00D8772C">
        <w:trPr>
          <w:cantSplit/>
          <w:trHeight w:val="367"/>
          <w:jc w:val="center"/>
        </w:trPr>
        <w:tc>
          <w:tcPr>
            <w:tcW w:w="245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3449B6C" w14:textId="77777777" w:rsidR="00B01BFD" w:rsidRPr="00D8772C" w:rsidRDefault="00B01BFD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A0B4C2A" w14:textId="77777777" w:rsidR="00B01BFD" w:rsidRPr="00D8772C" w:rsidRDefault="00B01BFD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</w:t>
            </w:r>
          </w:p>
        </w:tc>
        <w:tc>
          <w:tcPr>
            <w:tcW w:w="117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E759723" w14:textId="77777777" w:rsidR="00B01BFD" w:rsidRPr="00D8772C" w:rsidRDefault="00B01BFD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.000</w:t>
            </w:r>
          </w:p>
        </w:tc>
      </w:tr>
    </w:tbl>
    <w:p w14:paraId="2477FBBC" w14:textId="1F5A2FFB" w:rsidR="00D770B5" w:rsidRPr="00D8772C" w:rsidRDefault="00764CC8" w:rsidP="00D877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Table 1. Result of KMO and Bartlett’s Test</w:t>
      </w:r>
    </w:p>
    <w:p w14:paraId="2A01178A" w14:textId="0C6E8EE3" w:rsidR="00B01BFD" w:rsidRPr="00D8772C" w:rsidRDefault="00764CC8" w:rsidP="00D87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In Table 1,</w:t>
      </w:r>
      <w:r w:rsidR="00B01BFD" w:rsidRPr="00D8772C">
        <w:rPr>
          <w:rFonts w:ascii="Times New Roman" w:hAnsi="Times New Roman" w:cs="Times New Roman"/>
          <w:sz w:val="24"/>
          <w:szCs w:val="24"/>
        </w:rPr>
        <w:t xml:space="preserve"> the result show</w:t>
      </w:r>
      <w:r w:rsidRPr="00D8772C">
        <w:rPr>
          <w:rFonts w:ascii="Times New Roman" w:hAnsi="Times New Roman" w:cs="Times New Roman"/>
          <w:sz w:val="24"/>
          <w:szCs w:val="24"/>
        </w:rPr>
        <w:t>s</w:t>
      </w:r>
      <w:r w:rsidR="00B01BFD" w:rsidRPr="00D8772C">
        <w:rPr>
          <w:rFonts w:ascii="Times New Roman" w:hAnsi="Times New Roman" w:cs="Times New Roman"/>
          <w:sz w:val="24"/>
          <w:szCs w:val="24"/>
        </w:rPr>
        <w:t xml:space="preserve"> that the value of KMO is 0.859 which is acceptable, it indicates that the responses given with the sample are adequate.</w:t>
      </w:r>
    </w:p>
    <w:p w14:paraId="06F0E479" w14:textId="5007CE88" w:rsidR="00B01BFD" w:rsidRPr="00D8772C" w:rsidRDefault="00B01BFD" w:rsidP="00D87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For Bartlett’s test</w:t>
      </w:r>
      <w:r w:rsidR="00D770B5" w:rsidRPr="00D8772C">
        <w:rPr>
          <w:rFonts w:ascii="Times New Roman" w:hAnsi="Times New Roman" w:cs="Times New Roman"/>
          <w:sz w:val="24"/>
          <w:szCs w:val="24"/>
        </w:rPr>
        <w:t>,</w:t>
      </w:r>
      <w:r w:rsidRPr="00D8772C">
        <w:rPr>
          <w:rFonts w:ascii="Times New Roman" w:hAnsi="Times New Roman" w:cs="Times New Roman"/>
          <w:sz w:val="24"/>
          <w:szCs w:val="24"/>
        </w:rPr>
        <w:t xml:space="preserve"> </w:t>
      </w:r>
      <w:r w:rsidR="00D770B5" w:rsidRPr="00D8772C">
        <w:rPr>
          <w:rFonts w:ascii="Times New Roman" w:hAnsi="Times New Roman" w:cs="Times New Roman"/>
          <w:sz w:val="24"/>
          <w:szCs w:val="24"/>
        </w:rPr>
        <w:t xml:space="preserve">the null hypothesis </w:t>
      </w:r>
      <w:r w:rsidR="0072048B" w:rsidRPr="00D8772C">
        <w:rPr>
          <w:rFonts w:ascii="Times New Roman" w:hAnsi="Times New Roman" w:cs="Times New Roman"/>
          <w:sz w:val="24"/>
          <w:szCs w:val="24"/>
        </w:rPr>
        <w:t>states that</w:t>
      </w:r>
      <w:r w:rsidR="00D770B5" w:rsidRPr="00D8772C">
        <w:rPr>
          <w:rFonts w:ascii="Times New Roman" w:hAnsi="Times New Roman" w:cs="Times New Roman"/>
          <w:sz w:val="24"/>
          <w:szCs w:val="24"/>
        </w:rPr>
        <w:t xml:space="preserve"> the covariance matrix is an identity matrix</w:t>
      </w:r>
      <w:r w:rsidR="0072048B" w:rsidRPr="00D8772C">
        <w:rPr>
          <w:rFonts w:ascii="Times New Roman" w:hAnsi="Times New Roman" w:cs="Times New Roman"/>
          <w:sz w:val="24"/>
          <w:szCs w:val="24"/>
        </w:rPr>
        <w:t>. The result sho</w:t>
      </w:r>
      <w:r w:rsidR="00764CC8" w:rsidRPr="00D8772C">
        <w:rPr>
          <w:rFonts w:ascii="Times New Roman" w:hAnsi="Times New Roman" w:cs="Times New Roman"/>
          <w:sz w:val="24"/>
          <w:szCs w:val="24"/>
        </w:rPr>
        <w:t>ws</w:t>
      </w:r>
      <w:r w:rsidR="0072048B" w:rsidRPr="00D8772C">
        <w:rPr>
          <w:rFonts w:ascii="Times New Roman" w:hAnsi="Times New Roman" w:cs="Times New Roman"/>
          <w:sz w:val="24"/>
          <w:szCs w:val="24"/>
        </w:rPr>
        <w:t xml:space="preserve"> that</w:t>
      </w:r>
      <w:r w:rsidR="00D770B5" w:rsidRPr="00D8772C">
        <w:rPr>
          <w:rFonts w:ascii="Times New Roman" w:hAnsi="Times New Roman" w:cs="Times New Roman"/>
          <w:sz w:val="24"/>
          <w:szCs w:val="24"/>
        </w:rPr>
        <w:t xml:space="preserve"> the significant value is lesser than 0.001</w:t>
      </w:r>
      <w:r w:rsidR="0072048B" w:rsidRPr="00D8772C">
        <w:rPr>
          <w:rFonts w:ascii="Times New Roman" w:hAnsi="Times New Roman" w:cs="Times New Roman"/>
          <w:sz w:val="24"/>
          <w:szCs w:val="24"/>
        </w:rPr>
        <w:t>,</w:t>
      </w:r>
      <w:r w:rsidR="00D770B5" w:rsidRPr="00D8772C">
        <w:rPr>
          <w:rFonts w:ascii="Times New Roman" w:hAnsi="Times New Roman" w:cs="Times New Roman"/>
          <w:sz w:val="24"/>
          <w:szCs w:val="24"/>
        </w:rPr>
        <w:t xml:space="preserve"> so null hypothesis</w:t>
      </w:r>
      <w:r w:rsidR="0072048B" w:rsidRPr="00D8772C">
        <w:rPr>
          <w:rFonts w:ascii="Times New Roman" w:hAnsi="Times New Roman" w:cs="Times New Roman"/>
          <w:sz w:val="24"/>
          <w:szCs w:val="24"/>
        </w:rPr>
        <w:t xml:space="preserve"> is rejected</w:t>
      </w:r>
      <w:r w:rsidR="00D770B5" w:rsidRPr="00D8772C">
        <w:rPr>
          <w:rFonts w:ascii="Times New Roman" w:hAnsi="Times New Roman" w:cs="Times New Roman"/>
          <w:sz w:val="24"/>
          <w:szCs w:val="24"/>
        </w:rPr>
        <w:t xml:space="preserve"> because there is sufficient evidence to conclude that the covariance matrix is an identity matrix and it’s </w:t>
      </w:r>
      <w:proofErr w:type="gramStart"/>
      <w:r w:rsidR="00D770B5" w:rsidRPr="00D8772C">
        <w:rPr>
          <w:rFonts w:ascii="Times New Roman" w:hAnsi="Times New Roman" w:cs="Times New Roman"/>
          <w:sz w:val="24"/>
          <w:szCs w:val="24"/>
        </w:rPr>
        <w:t>indicate</w:t>
      </w:r>
      <w:proofErr w:type="gramEnd"/>
      <w:r w:rsidR="00D770B5" w:rsidRPr="00D8772C">
        <w:rPr>
          <w:rFonts w:ascii="Times New Roman" w:hAnsi="Times New Roman" w:cs="Times New Roman"/>
          <w:sz w:val="24"/>
          <w:szCs w:val="24"/>
        </w:rPr>
        <w:t xml:space="preserve"> the data is suitable to do factor analysis.</w:t>
      </w:r>
    </w:p>
    <w:p w14:paraId="2E896501" w14:textId="3B44894F" w:rsidR="00474964" w:rsidRPr="00D8772C" w:rsidRDefault="00D770B5" w:rsidP="00D87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8772C">
        <w:rPr>
          <w:rFonts w:ascii="Times New Roman" w:hAnsi="Times New Roman" w:cs="Times New Roman"/>
          <w:sz w:val="24"/>
          <w:szCs w:val="24"/>
          <w:u w:val="single"/>
        </w:rPr>
        <w:t>2.3 Principal Component Factor Analysis, including Varimax rotation</w:t>
      </w:r>
    </w:p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710"/>
        <w:gridCol w:w="917"/>
        <w:gridCol w:w="964"/>
        <w:gridCol w:w="768"/>
        <w:gridCol w:w="1036"/>
        <w:gridCol w:w="881"/>
        <w:gridCol w:w="747"/>
        <w:gridCol w:w="1065"/>
        <w:gridCol w:w="1134"/>
      </w:tblGrid>
      <w:tr w:rsidR="00474964" w:rsidRPr="00D8772C" w14:paraId="2CB59DD0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492EE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Variance Explained</w:t>
            </w:r>
          </w:p>
        </w:tc>
      </w:tr>
      <w:tr w:rsidR="00474964" w:rsidRPr="00D8772C" w14:paraId="65F757EC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85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73F6E0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2591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1D2BFB3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Initial Eigenvalues</w:t>
            </w:r>
          </w:p>
        </w:tc>
        <w:tc>
          <w:tcPr>
            <w:tcW w:w="2685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14:paraId="1D110514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Extraction Sums of Squared Loadings</w:t>
            </w:r>
          </w:p>
        </w:tc>
        <w:tc>
          <w:tcPr>
            <w:tcW w:w="2946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14:paraId="30FC9BF2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Rotation Sums of Squared Loadings</w:t>
            </w:r>
          </w:p>
        </w:tc>
      </w:tr>
      <w:tr w:rsidR="00474964" w:rsidRPr="00D8772C" w14:paraId="4E1A000B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85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CF4DDB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8EB6FCE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</w:tcPr>
          <w:p w14:paraId="3B2D0B00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 of Variance</w:t>
            </w:r>
          </w:p>
        </w:tc>
        <w:tc>
          <w:tcPr>
            <w:tcW w:w="964" w:type="dxa"/>
            <w:tcBorders>
              <w:bottom w:val="single" w:sz="16" w:space="0" w:color="000000"/>
            </w:tcBorders>
            <w:shd w:val="clear" w:color="auto" w:fill="FFFFFF"/>
          </w:tcPr>
          <w:p w14:paraId="4A0BDEAF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Cumulative %</w:t>
            </w:r>
          </w:p>
        </w:tc>
        <w:tc>
          <w:tcPr>
            <w:tcW w:w="768" w:type="dxa"/>
            <w:tcBorders>
              <w:bottom w:val="single" w:sz="16" w:space="0" w:color="000000"/>
            </w:tcBorders>
            <w:shd w:val="clear" w:color="auto" w:fill="FFFFFF"/>
          </w:tcPr>
          <w:p w14:paraId="446AB7B1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36" w:type="dxa"/>
            <w:tcBorders>
              <w:bottom w:val="single" w:sz="16" w:space="0" w:color="000000"/>
            </w:tcBorders>
            <w:shd w:val="clear" w:color="auto" w:fill="FFFFFF"/>
          </w:tcPr>
          <w:p w14:paraId="4D15CC27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 of Variance</w:t>
            </w:r>
          </w:p>
        </w:tc>
        <w:tc>
          <w:tcPr>
            <w:tcW w:w="881" w:type="dxa"/>
            <w:tcBorders>
              <w:bottom w:val="single" w:sz="16" w:space="0" w:color="000000"/>
            </w:tcBorders>
            <w:shd w:val="clear" w:color="auto" w:fill="FFFFFF"/>
          </w:tcPr>
          <w:p w14:paraId="5845DF9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Cumulative %</w:t>
            </w:r>
          </w:p>
        </w:tc>
        <w:tc>
          <w:tcPr>
            <w:tcW w:w="747" w:type="dxa"/>
            <w:tcBorders>
              <w:bottom w:val="single" w:sz="16" w:space="0" w:color="000000"/>
            </w:tcBorders>
            <w:shd w:val="clear" w:color="auto" w:fill="FFFFFF"/>
          </w:tcPr>
          <w:p w14:paraId="0BA07603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65" w:type="dxa"/>
            <w:tcBorders>
              <w:bottom w:val="single" w:sz="16" w:space="0" w:color="000000"/>
            </w:tcBorders>
            <w:shd w:val="clear" w:color="auto" w:fill="FFFFFF"/>
          </w:tcPr>
          <w:p w14:paraId="25DBFAC0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 of Variance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32F714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Cumulative %</w:t>
            </w:r>
          </w:p>
        </w:tc>
      </w:tr>
      <w:tr w:rsidR="00474964" w:rsidRPr="00D8772C" w14:paraId="35B37576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85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808FDF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1C41BE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5.621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012E6C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25.551</w:t>
            </w:r>
          </w:p>
        </w:tc>
        <w:tc>
          <w:tcPr>
            <w:tcW w:w="96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02CF29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25.551</w:t>
            </w:r>
          </w:p>
        </w:tc>
        <w:tc>
          <w:tcPr>
            <w:tcW w:w="7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763FD9F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5.621</w:t>
            </w:r>
          </w:p>
        </w:tc>
        <w:tc>
          <w:tcPr>
            <w:tcW w:w="103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205AA63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25.551</w:t>
            </w:r>
          </w:p>
        </w:tc>
        <w:tc>
          <w:tcPr>
            <w:tcW w:w="88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E66417A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25.551</w:t>
            </w:r>
          </w:p>
        </w:tc>
        <w:tc>
          <w:tcPr>
            <w:tcW w:w="7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3EAB0E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3.137</w:t>
            </w:r>
          </w:p>
        </w:tc>
        <w:tc>
          <w:tcPr>
            <w:tcW w:w="106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D924923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14.259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0CCA22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14.259</w:t>
            </w:r>
          </w:p>
        </w:tc>
      </w:tr>
      <w:tr w:rsidR="00474964" w:rsidRPr="00D8772C" w14:paraId="6EFFA03A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ADF421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7B5BA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2.105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78AC7A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9.569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7D99D0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35.120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82A412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2.105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DD0269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9.569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B22EA4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35.120</w:t>
            </w: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B421C5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2.717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805464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12.352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32414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26.611</w:t>
            </w:r>
          </w:p>
        </w:tc>
      </w:tr>
      <w:tr w:rsidR="00474964" w:rsidRPr="00D8772C" w14:paraId="1145A382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B2C3EF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139332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1.781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02CA2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8.095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12A7C4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43.215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BAE35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1.781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B16CD4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8.095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A8FF93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43.215</w:t>
            </w: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6155F1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2.583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2AA01F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11.739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4D8720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38.350</w:t>
            </w:r>
          </w:p>
        </w:tc>
      </w:tr>
      <w:tr w:rsidR="00474964" w:rsidRPr="00D8772C" w14:paraId="1B7BAC71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9E644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79DE85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1.380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5A6F4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6.275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6BE444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49.490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20C6A4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1.380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71556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6.275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E6F3E3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49.490</w:t>
            </w: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273BA1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2.451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278C8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11.140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479067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49.490</w:t>
            </w:r>
          </w:p>
        </w:tc>
      </w:tr>
      <w:tr w:rsidR="00474964" w:rsidRPr="00D8772C" w14:paraId="7C891594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93299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B05F94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1.083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4F67D7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4.923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4F69F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54.413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49A1E24E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6273AA8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0A62790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7EC9D5E9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202039B7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F52F4E1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006921A3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0DD7A9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1742D6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.941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6C00C9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4.279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66C7D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58.692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2B0DF62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51A9D91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7BFB1349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6A1FCAF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60BAFBF0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0601097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704AE230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3C2735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B8FEE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.899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18806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4.086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037D29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62.778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11E56424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283F6F2E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2498F0B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1A58188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40B2417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186828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22B7E94A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D44786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C88B5E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.849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9744A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3.861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319AA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66.639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6506DD49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5364284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446AEDF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5538B87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7C0A4203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0936C8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4B7CC157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7D78B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8D3DE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.755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8D9C71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3.434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B771BF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70.073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389365EF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09BA487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4A7B7B89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7E3F2356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573BA203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5C32C07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59A35C99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11F44F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D63C0A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.716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CA0E1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3.255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8B8CF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73.328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7EAC3FF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311FBFB4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2A0A1A5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60A1F737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4095D0DF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E7AD753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4250B853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24446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620A8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.668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3B8DE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3.036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C09A9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76.365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3BF82086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390483F4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7D47083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291351B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6532BF9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6ED8D40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619187F4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BC2D75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28AB29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.630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3B0C93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2.865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5E4496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79.229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2D79F886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3B3FF1D7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1F2D91AF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323AB27A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10DDCC3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7F0F270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2D3EF762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19909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CD528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.592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E455DE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2.693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BF0867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81.922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1EB240B2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3768A802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4502292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7EF24BA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304D619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3A5DDE9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0BA5C5AF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A525DE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AAA97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.562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34F335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2.553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630714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84.475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47136767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4E72ABCA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20354844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3722110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30F4E9FA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EC0F5E2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76D4475F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9D713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0E0082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.515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3662D9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2.342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7B270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86.817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40960041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559491F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3FB13841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0CC7E8F0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6C3FF210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C363676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3AFC882B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C3071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F4CA42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.506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00474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2.299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BC4297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89.116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4853911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48F21152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098F5B32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5BAA4FE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2FC90ADE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EB2C356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0C83BA77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00AFDE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678DC0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.459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B5B7C5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2.087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57E32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91.203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79B2EA52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5FD435B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6B1E6781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0875A386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240EEF46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BFE0E9E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1FCD4F30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950C79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0C3BFF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.451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668EC3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2.049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7FA29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93.252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498E175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6B22F25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36B81693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4F46E1F0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6D569A89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E737E9E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70F9766A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63AB79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B5FBE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.423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8E8B11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1.921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79C817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95.173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69FE0E0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526DA73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53B4E669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5DF8268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13EB07D3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A97EA04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332C6251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40ADF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5F3833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.374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FBB0FA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1.701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C1465A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96.874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2BB4DB3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544B8641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706A564F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3A7E07B7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0FFACA6E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334945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72A6D23F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8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C48F8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C3CAB2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.359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43EA86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1.632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890B0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98.506</w:t>
            </w: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/>
          </w:tcPr>
          <w:p w14:paraId="6179824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0D87E37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/>
          </w:tcPr>
          <w:p w14:paraId="312E27DE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/>
          </w:tcPr>
          <w:p w14:paraId="52BC4F1B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FFFFFF"/>
          </w:tcPr>
          <w:p w14:paraId="1D33A863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1CF8ED1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6E429B6D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85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4DCB16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7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18F63D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.329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4F6D0C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1.494</w:t>
            </w:r>
          </w:p>
        </w:tc>
        <w:tc>
          <w:tcPr>
            <w:tcW w:w="96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BB444A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100.000</w:t>
            </w:r>
          </w:p>
        </w:tc>
        <w:tc>
          <w:tcPr>
            <w:tcW w:w="7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DBB6748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976051C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FAEAF62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B8AFC86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E0663D0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630192D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964" w:rsidRPr="00D8772C" w14:paraId="31AAEF8D" w14:textId="77777777" w:rsidTr="001555B3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519AC3" w14:textId="77777777" w:rsidR="00474964" w:rsidRPr="00D8772C" w:rsidRDefault="00474964" w:rsidP="00D8772C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Extraction Method: Principal Component Analysis.</w:t>
            </w:r>
          </w:p>
        </w:tc>
      </w:tr>
    </w:tbl>
    <w:p w14:paraId="76E0BA33" w14:textId="77777777" w:rsidR="00474964" w:rsidRPr="00D8772C" w:rsidRDefault="00474964" w:rsidP="00D87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9024A08" w14:textId="60ED7585" w:rsidR="00764CC8" w:rsidRPr="00D8772C" w:rsidRDefault="00764CC8" w:rsidP="00D877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Table 2. Result of Total Variance Explained</w:t>
      </w:r>
    </w:p>
    <w:p w14:paraId="56E4F4DF" w14:textId="5B3A86D4" w:rsidR="00764CC8" w:rsidRPr="00D8772C" w:rsidRDefault="001555B3" w:rsidP="00D87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 xml:space="preserve">Before extraction, SPSS has identified 22 linear components within the dataset. Due to the result we obtained from the parallel analysis, we set the number of factors to 4 instead of allowing the SPSS helps us to identify. After principal component analysis is applied, it is observed that the result before extraction is </w:t>
      </w:r>
      <w:r w:rsidR="00583A90" w:rsidRPr="00D8772C">
        <w:rPr>
          <w:rFonts w:ascii="Times New Roman" w:hAnsi="Times New Roman" w:cs="Times New Roman"/>
          <w:sz w:val="24"/>
          <w:szCs w:val="24"/>
        </w:rPr>
        <w:t xml:space="preserve">same with the result after extraction except for the values for discarded factors are ignored. </w:t>
      </w:r>
      <w:r w:rsidR="00D770B5" w:rsidRPr="00D8772C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EC419F" w:rsidRPr="00D8772C">
        <w:rPr>
          <w:rFonts w:ascii="Times New Roman" w:hAnsi="Times New Roman" w:cs="Times New Roman"/>
          <w:sz w:val="24"/>
          <w:szCs w:val="24"/>
        </w:rPr>
        <w:t>Table 2,</w:t>
      </w:r>
      <w:r w:rsidR="00D770B5" w:rsidRPr="00D8772C">
        <w:rPr>
          <w:rFonts w:ascii="Times New Roman" w:hAnsi="Times New Roman" w:cs="Times New Roman"/>
          <w:sz w:val="24"/>
          <w:szCs w:val="24"/>
        </w:rPr>
        <w:t xml:space="preserve"> </w:t>
      </w:r>
      <w:r w:rsidR="00F7043B" w:rsidRPr="00D8772C">
        <w:rPr>
          <w:rFonts w:ascii="Times New Roman" w:hAnsi="Times New Roman" w:cs="Times New Roman"/>
          <w:sz w:val="24"/>
          <w:szCs w:val="24"/>
        </w:rPr>
        <w:t>rotation has the effect of optimizing the factor structure and one consequence for these data is that the relative importance of the four factors. Before rotation, component 1 accounted for considerably more variance than the remaining three components. For example, component 1 explains 25.551% of total variance while component 4 explains 6.275% of total variance. However, after rotation, component 1 accounts for only 14.259% of variance (compared to 12.352%, 11.739%, and 11.140% respectively). In overall</w:t>
      </w:r>
      <w:r w:rsidR="00764CC8" w:rsidRPr="00D8772C">
        <w:rPr>
          <w:rFonts w:ascii="Times New Roman" w:hAnsi="Times New Roman" w:cs="Times New Roman"/>
          <w:sz w:val="24"/>
          <w:szCs w:val="24"/>
        </w:rPr>
        <w:t>,</w:t>
      </w:r>
      <w:r w:rsidR="000E74E2" w:rsidRPr="00D8772C">
        <w:rPr>
          <w:rFonts w:ascii="Times New Roman" w:hAnsi="Times New Roman" w:cs="Times New Roman"/>
          <w:sz w:val="24"/>
          <w:szCs w:val="24"/>
        </w:rPr>
        <w:t xml:space="preserve"> total of 4</w:t>
      </w:r>
      <w:r w:rsidR="00F7043B" w:rsidRPr="00D8772C">
        <w:rPr>
          <w:rFonts w:ascii="Times New Roman" w:hAnsi="Times New Roman" w:cs="Times New Roman"/>
          <w:sz w:val="24"/>
          <w:szCs w:val="24"/>
        </w:rPr>
        <w:t>9</w:t>
      </w:r>
      <w:r w:rsidR="000E74E2" w:rsidRPr="00D8772C">
        <w:rPr>
          <w:rFonts w:ascii="Times New Roman" w:hAnsi="Times New Roman" w:cs="Times New Roman"/>
          <w:sz w:val="24"/>
          <w:szCs w:val="24"/>
        </w:rPr>
        <w:t xml:space="preserve">.49% of variability can be explained </w:t>
      </w:r>
      <w:r w:rsidR="00F7043B" w:rsidRPr="00D8772C">
        <w:rPr>
          <w:rFonts w:ascii="Times New Roman" w:hAnsi="Times New Roman" w:cs="Times New Roman"/>
          <w:sz w:val="24"/>
          <w:szCs w:val="24"/>
        </w:rPr>
        <w:t>by</w:t>
      </w:r>
      <w:r w:rsidR="000E74E2" w:rsidRPr="00D8772C">
        <w:rPr>
          <w:rFonts w:ascii="Times New Roman" w:hAnsi="Times New Roman" w:cs="Times New Roman"/>
          <w:sz w:val="24"/>
          <w:szCs w:val="24"/>
        </w:rPr>
        <w:t xml:space="preserve"> using </w:t>
      </w:r>
      <w:r w:rsidR="00F7043B" w:rsidRPr="00D8772C">
        <w:rPr>
          <w:rFonts w:ascii="Times New Roman" w:hAnsi="Times New Roman" w:cs="Times New Roman"/>
          <w:sz w:val="24"/>
          <w:szCs w:val="24"/>
        </w:rPr>
        <w:t xml:space="preserve">the </w:t>
      </w:r>
      <w:r w:rsidR="000E74E2" w:rsidRPr="00D8772C">
        <w:rPr>
          <w:rFonts w:ascii="Times New Roman" w:hAnsi="Times New Roman" w:cs="Times New Roman"/>
          <w:sz w:val="24"/>
          <w:szCs w:val="24"/>
        </w:rPr>
        <w:t>4 components.</w:t>
      </w:r>
    </w:p>
    <w:tbl>
      <w:tblPr>
        <w:tblpPr w:leftFromText="180" w:rightFromText="180" w:vertAnchor="text" w:horzAnchor="margin" w:tblpXSpec="center" w:tblpY="31"/>
        <w:tblOverlap w:val="never"/>
        <w:tblW w:w="6239" w:type="dxa"/>
        <w:tblLook w:val="04A0" w:firstRow="1" w:lastRow="0" w:firstColumn="1" w:lastColumn="0" w:noHBand="0" w:noVBand="1"/>
      </w:tblPr>
      <w:tblGrid>
        <w:gridCol w:w="1818"/>
        <w:gridCol w:w="1144"/>
        <w:gridCol w:w="1144"/>
        <w:gridCol w:w="1144"/>
        <w:gridCol w:w="989"/>
      </w:tblGrid>
      <w:tr w:rsidR="00B04B14" w:rsidRPr="00D8772C" w14:paraId="5C6FC534" w14:textId="77777777" w:rsidTr="00D8772C">
        <w:trPr>
          <w:trHeight w:val="317"/>
        </w:trPr>
        <w:tc>
          <w:tcPr>
            <w:tcW w:w="6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10F2B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Rotated Component </w:t>
            </w:r>
            <w:proofErr w:type="spellStart"/>
            <w:r w:rsidRPr="00D8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Matrix</w:t>
            </w:r>
            <w:r w:rsidRPr="00D8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B04B14" w:rsidRPr="00D8772C" w14:paraId="0B84C00C" w14:textId="77777777" w:rsidTr="00D8772C">
        <w:trPr>
          <w:trHeight w:val="317"/>
        </w:trPr>
        <w:tc>
          <w:tcPr>
            <w:tcW w:w="18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46ED3AF9" w14:textId="1EDC2AD1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1" w:type="dxa"/>
            <w:gridSpan w:val="4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15FC4F8E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Component</w:t>
            </w:r>
          </w:p>
        </w:tc>
      </w:tr>
      <w:tr w:rsidR="00D8772C" w:rsidRPr="00D8772C" w14:paraId="2E457D15" w14:textId="77777777" w:rsidTr="00D8772C">
        <w:trPr>
          <w:trHeight w:val="317"/>
        </w:trPr>
        <w:tc>
          <w:tcPr>
            <w:tcW w:w="181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EC84E71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64D32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C52A8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BA230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409FD41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8772C" w:rsidRPr="00D8772C" w14:paraId="32990CA0" w14:textId="77777777" w:rsidTr="00D8772C">
        <w:trPr>
          <w:trHeight w:val="317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3ADC59A2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32676EE0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.760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51544BE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-.054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BFAFDCB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.194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46E74D9B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.165</w:t>
            </w:r>
          </w:p>
        </w:tc>
      </w:tr>
      <w:tr w:rsidR="00D8772C" w:rsidRPr="00D8772C" w14:paraId="36A0EFE0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34861D62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SAC20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1822087A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.667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CABFBEC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.082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CEC7124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.050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35BD34D7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.100</w:t>
            </w:r>
          </w:p>
        </w:tc>
      </w:tr>
      <w:tr w:rsidR="00D8772C" w:rsidRPr="00D8772C" w14:paraId="7688E05D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571F410F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650FD0BC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.662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AC7B8E7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.281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B0D5261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.071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591E329F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-.037</w:t>
            </w:r>
          </w:p>
        </w:tc>
      </w:tr>
      <w:tr w:rsidR="00D8772C" w:rsidRPr="00D8772C" w14:paraId="73CDEFAB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7C14517C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3286EC12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.623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D1B4946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.300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AD7015C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.101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455BF4DF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.212</w:t>
            </w:r>
          </w:p>
        </w:tc>
      </w:tr>
      <w:tr w:rsidR="00D8772C" w:rsidRPr="00D8772C" w14:paraId="40630AF6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3E705919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7716F629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.490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6EE7A2E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5D21725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.441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27CEB784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.008</w:t>
            </w:r>
          </w:p>
        </w:tc>
      </w:tr>
      <w:tr w:rsidR="00D8772C" w:rsidRPr="00D8772C" w14:paraId="259EF73E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32A84833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7CE69548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.391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4F9D34F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.177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F2C43C1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.107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10303CF3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.243</w:t>
            </w:r>
          </w:p>
        </w:tc>
      </w:tr>
      <w:tr w:rsidR="00D8772C" w:rsidRPr="00D8772C" w14:paraId="3E20C7E5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5E7FCB81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7AF06BA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-.333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40A1F8DE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.676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0D53AB0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.072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2F3923D7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.107</w:t>
            </w:r>
          </w:p>
        </w:tc>
      </w:tr>
      <w:tr w:rsidR="00D8772C" w:rsidRPr="00D8772C" w14:paraId="3F727971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0AA17F66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SAC21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0A13269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.345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7317D57C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.672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465F340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.010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0631CC2C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.184</w:t>
            </w:r>
          </w:p>
        </w:tc>
      </w:tr>
      <w:tr w:rsidR="00D8772C" w:rsidRPr="00D8772C" w14:paraId="7DD127D6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25A9CC81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SAC22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E172C47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.108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5A0AA191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.629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4E52897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.186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46531ECB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-.051</w:t>
            </w:r>
          </w:p>
        </w:tc>
      </w:tr>
      <w:tr w:rsidR="00D8772C" w:rsidRPr="00D8772C" w14:paraId="681775F4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5BF231A1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566D51C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.227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050A9B65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.575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2F82DDD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.098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0604254C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.011</w:t>
            </w:r>
          </w:p>
        </w:tc>
      </w:tr>
      <w:tr w:rsidR="00D8772C" w:rsidRPr="00D8772C" w14:paraId="5D9AB02A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6714FBF4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B12A6E5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.046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05995E36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.572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7BFE7E0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-.142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482F674C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.456</w:t>
            </w:r>
          </w:p>
        </w:tc>
      </w:tr>
      <w:tr w:rsidR="00D8772C" w:rsidRPr="00D8772C" w14:paraId="25E33B76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12652822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DC150E8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.388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0C49A2BC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.497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FF4C096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.091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6B8D46D5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.104</w:t>
            </w:r>
          </w:p>
        </w:tc>
      </w:tr>
      <w:tr w:rsidR="00D8772C" w:rsidRPr="00D8772C" w14:paraId="637BD4E8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196CEEDE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3147BB1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3D9DBE4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.077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17D58237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.794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74F12DED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.061</w:t>
            </w:r>
          </w:p>
        </w:tc>
      </w:tr>
      <w:tr w:rsidR="00D8772C" w:rsidRPr="00D8772C" w14:paraId="4B0D665F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20A3B335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31EB373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.030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BD7094A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.162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538C0C6F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.715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3EC5F323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.057</w:t>
            </w:r>
          </w:p>
        </w:tc>
      </w:tr>
      <w:tr w:rsidR="00D8772C" w:rsidRPr="00D8772C" w14:paraId="6AEB0B2B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5C1D307D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6DA0D6A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.405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6418BD3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-.011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2B9E0235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.627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67C77BF3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.154</w:t>
            </w:r>
          </w:p>
        </w:tc>
      </w:tr>
      <w:tr w:rsidR="00D8772C" w:rsidRPr="00D8772C" w14:paraId="7115C30E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56184E0E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D775C67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.154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720DC25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.178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72AA53AD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.586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0B5904B1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.421</w:t>
            </w:r>
          </w:p>
        </w:tc>
      </w:tr>
      <w:tr w:rsidR="00D8772C" w:rsidRPr="00D8772C" w14:paraId="4F8B53C8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6AE8D83C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1BC6239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.136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310D1E4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2750DF9D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649F54F6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.453</w:t>
            </w:r>
          </w:p>
        </w:tc>
      </w:tr>
      <w:tr w:rsidR="00D8772C" w:rsidRPr="00D8772C" w14:paraId="41A61315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2F1A0782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49ED6A1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-.008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C9C8E25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D05E900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.096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hideMark/>
          </w:tcPr>
          <w:p w14:paraId="36C86A62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.744</w:t>
            </w:r>
          </w:p>
        </w:tc>
      </w:tr>
      <w:tr w:rsidR="00D8772C" w:rsidRPr="00D8772C" w14:paraId="064F860A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1B36F289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6032672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.075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1E6B17D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-.008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A33EC96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.191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hideMark/>
          </w:tcPr>
          <w:p w14:paraId="65083113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.577</w:t>
            </w:r>
          </w:p>
        </w:tc>
      </w:tr>
      <w:tr w:rsidR="00D8772C" w:rsidRPr="00D8772C" w14:paraId="09E5EEC7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33D5E2D5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F6BDDDF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.210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82B7B58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.465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727B5D0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.033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hideMark/>
          </w:tcPr>
          <w:p w14:paraId="6976B40B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.559</w:t>
            </w:r>
          </w:p>
        </w:tc>
      </w:tr>
      <w:tr w:rsidR="00D8772C" w:rsidRPr="00D8772C" w14:paraId="0467BEB3" w14:textId="77777777" w:rsidTr="00D8772C">
        <w:trPr>
          <w:trHeight w:val="302"/>
        </w:trPr>
        <w:tc>
          <w:tcPr>
            <w:tcW w:w="18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55060788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35BD1EF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.421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4919C62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.050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1293E48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-.121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hideMark/>
          </w:tcPr>
          <w:p w14:paraId="56473276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.491</w:t>
            </w:r>
          </w:p>
        </w:tc>
      </w:tr>
      <w:tr w:rsidR="00D8772C" w:rsidRPr="00D8772C" w14:paraId="5C27A4A2" w14:textId="77777777" w:rsidTr="00D8772C">
        <w:trPr>
          <w:trHeight w:val="317"/>
        </w:trPr>
        <w:tc>
          <w:tcPr>
            <w:tcW w:w="181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B0B86BC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43CAC7F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B24194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.048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8AA282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.181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00"/>
            <w:noWrap/>
            <w:hideMark/>
          </w:tcPr>
          <w:p w14:paraId="4489239A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.432</w:t>
            </w:r>
          </w:p>
        </w:tc>
      </w:tr>
      <w:tr w:rsidR="00B04B14" w:rsidRPr="00D8772C" w14:paraId="78077FE8" w14:textId="77777777" w:rsidTr="00D8772C">
        <w:trPr>
          <w:trHeight w:val="726"/>
        </w:trPr>
        <w:tc>
          <w:tcPr>
            <w:tcW w:w="6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FA0D9" w14:textId="6C646073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Extraction Method: Principal Component</w:t>
            </w:r>
            <w:r w:rsidR="00583A90"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Analysis. </w:t>
            </w: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Rotation Method: Varimax with Kaiser Normalization.</w:t>
            </w:r>
          </w:p>
          <w:p w14:paraId="77E3C4F2" w14:textId="4F9B9995" w:rsidR="00474964" w:rsidRPr="00D8772C" w:rsidRDefault="0047496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 3. Rotated Component Matrix</w:t>
            </w:r>
          </w:p>
        </w:tc>
      </w:tr>
    </w:tbl>
    <w:p w14:paraId="185FE701" w14:textId="3B465964" w:rsidR="00B04B14" w:rsidRPr="00D8772C" w:rsidRDefault="00B04B14" w:rsidP="00D87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030F1" w14:textId="77C23855" w:rsidR="00583A90" w:rsidRPr="00D8772C" w:rsidRDefault="00583A90" w:rsidP="00D87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80A37" w14:textId="77777777" w:rsidR="00583A90" w:rsidRPr="00D8772C" w:rsidRDefault="00583A90" w:rsidP="00D87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0E582" w14:textId="77777777" w:rsidR="00583A90" w:rsidRPr="00D8772C" w:rsidRDefault="00583A90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41049" w14:textId="77777777" w:rsidR="00D8772C" w:rsidRDefault="00D8772C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468C5" w14:textId="77777777" w:rsidR="00D8772C" w:rsidRDefault="00D8772C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61401" w14:textId="77777777" w:rsidR="00D8772C" w:rsidRDefault="00D8772C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53DF1" w14:textId="77777777" w:rsidR="00D8772C" w:rsidRDefault="00D8772C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24DD1" w14:textId="77777777" w:rsidR="00D8772C" w:rsidRDefault="00D8772C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0EBAC" w14:textId="77777777" w:rsidR="00D8772C" w:rsidRDefault="00D8772C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51699" w14:textId="77777777" w:rsidR="00D8772C" w:rsidRDefault="00D8772C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F8687" w14:textId="77777777" w:rsidR="00D8772C" w:rsidRDefault="00D8772C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D088D" w14:textId="77777777" w:rsidR="00D8772C" w:rsidRDefault="00D8772C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D09C2" w14:textId="77777777" w:rsidR="00D8772C" w:rsidRDefault="00D8772C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10247F" w14:textId="77777777" w:rsidR="00D8772C" w:rsidRDefault="00D8772C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92440" w14:textId="77777777" w:rsidR="00D8772C" w:rsidRDefault="00D8772C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993E1" w14:textId="77777777" w:rsidR="00D8772C" w:rsidRDefault="00D8772C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E8A94" w14:textId="77777777" w:rsidR="00D8772C" w:rsidRDefault="00D8772C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E9FFA" w14:textId="77777777" w:rsidR="00D8772C" w:rsidRDefault="00D8772C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8A4E1" w14:textId="77777777" w:rsidR="00D8772C" w:rsidRDefault="00D8772C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DE309" w14:textId="5516A3D9" w:rsidR="000E74E2" w:rsidRPr="00D8772C" w:rsidRDefault="000E74E2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Rotated</w:t>
      </w:r>
      <w:r w:rsidR="00D8772C">
        <w:rPr>
          <w:rFonts w:ascii="Times New Roman" w:hAnsi="Times New Roman" w:cs="Times New Roman"/>
          <w:sz w:val="24"/>
          <w:szCs w:val="24"/>
        </w:rPr>
        <w:t xml:space="preserve"> </w:t>
      </w:r>
      <w:r w:rsidRPr="00D8772C">
        <w:rPr>
          <w:rFonts w:ascii="Times New Roman" w:hAnsi="Times New Roman" w:cs="Times New Roman"/>
          <w:sz w:val="24"/>
          <w:szCs w:val="24"/>
        </w:rPr>
        <w:t>Component Matrix shows you the factor loadings for each variable</w:t>
      </w:r>
      <w:r w:rsidR="00B04B14" w:rsidRPr="00D8772C">
        <w:rPr>
          <w:rFonts w:ascii="Times New Roman" w:hAnsi="Times New Roman" w:cs="Times New Roman"/>
          <w:sz w:val="24"/>
          <w:szCs w:val="24"/>
        </w:rPr>
        <w:t xml:space="preserve"> and the high-lighted values are the strongest loading between its variable. Based </w:t>
      </w:r>
      <w:r w:rsidR="00764CC8" w:rsidRPr="00D8772C">
        <w:rPr>
          <w:rFonts w:ascii="Times New Roman" w:hAnsi="Times New Roman" w:cs="Times New Roman"/>
          <w:sz w:val="24"/>
          <w:szCs w:val="24"/>
        </w:rPr>
        <w:t>on</w:t>
      </w:r>
      <w:r w:rsidR="00B04B14" w:rsidRPr="00D8772C">
        <w:rPr>
          <w:rFonts w:ascii="Times New Roman" w:hAnsi="Times New Roman" w:cs="Times New Roman"/>
          <w:sz w:val="24"/>
          <w:szCs w:val="24"/>
        </w:rPr>
        <w:t xml:space="preserve"> the factor loadings, </w:t>
      </w:r>
    </w:p>
    <w:p w14:paraId="256BA9A9" w14:textId="77777777" w:rsidR="00B04B14" w:rsidRPr="00D8772C" w:rsidRDefault="00B04B14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Component 1 – SAC 7, SAC 13, SAC 14, SAC 16, SAC 19, SAC 20</w:t>
      </w:r>
    </w:p>
    <w:p w14:paraId="2E58869F" w14:textId="77777777" w:rsidR="00B04B14" w:rsidRPr="00D8772C" w:rsidRDefault="00B04B14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Component 2 - SAC 8, SAC 12, SAC 15, SAC 18, SAC 21, SAC 22</w:t>
      </w:r>
    </w:p>
    <w:p w14:paraId="15314D84" w14:textId="77777777" w:rsidR="00B04B14" w:rsidRPr="00D8772C" w:rsidRDefault="00B04B14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Component 3 - SAC 1, SAC 3, SAC 4 SAC 9, SAC 17</w:t>
      </w:r>
    </w:p>
    <w:p w14:paraId="1F778CEF" w14:textId="77777777" w:rsidR="00B04B14" w:rsidRPr="00D8772C" w:rsidRDefault="00B04B14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Component 4 – SAC 2, SAC 5, SAC 6, SAC 10, SAC 11</w:t>
      </w:r>
    </w:p>
    <w:p w14:paraId="48666758" w14:textId="77777777" w:rsidR="00B04B14" w:rsidRPr="00D8772C" w:rsidRDefault="00B04B14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8772C">
        <w:rPr>
          <w:rFonts w:ascii="Times New Roman" w:hAnsi="Times New Roman" w:cs="Times New Roman"/>
          <w:sz w:val="24"/>
          <w:szCs w:val="24"/>
          <w:u w:val="single"/>
        </w:rPr>
        <w:t>2.4 Maximum Likelihood Factor Analysis, including Varimax rotation</w:t>
      </w:r>
    </w:p>
    <w:tbl>
      <w:tblPr>
        <w:tblW w:w="7093" w:type="dxa"/>
        <w:jc w:val="center"/>
        <w:tblLook w:val="04A0" w:firstRow="1" w:lastRow="0" w:firstColumn="1" w:lastColumn="0" w:noHBand="0" w:noVBand="1"/>
      </w:tblPr>
      <w:tblGrid>
        <w:gridCol w:w="948"/>
        <w:gridCol w:w="825"/>
        <w:gridCol w:w="1083"/>
        <w:gridCol w:w="1596"/>
        <w:gridCol w:w="756"/>
        <w:gridCol w:w="1083"/>
        <w:gridCol w:w="1596"/>
      </w:tblGrid>
      <w:tr w:rsidR="00B04B14" w:rsidRPr="00D8772C" w14:paraId="1B9CE40E" w14:textId="77777777" w:rsidTr="00D8772C">
        <w:trPr>
          <w:trHeight w:val="315"/>
          <w:jc w:val="center"/>
        </w:trPr>
        <w:tc>
          <w:tcPr>
            <w:tcW w:w="7093" w:type="dxa"/>
            <w:gridSpan w:val="7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976F7E" w14:textId="77777777" w:rsidR="00B04B14" w:rsidRPr="00D8772C" w:rsidRDefault="00B04B14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Variance Explained</w:t>
            </w:r>
          </w:p>
        </w:tc>
      </w:tr>
      <w:tr w:rsidR="00B04B14" w:rsidRPr="00D8772C" w14:paraId="01B36E29" w14:textId="77777777" w:rsidTr="00D8772C">
        <w:trPr>
          <w:trHeight w:val="315"/>
          <w:jc w:val="center"/>
        </w:trPr>
        <w:tc>
          <w:tcPr>
            <w:tcW w:w="948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CE5B829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</w:t>
            </w:r>
          </w:p>
        </w:tc>
        <w:tc>
          <w:tcPr>
            <w:tcW w:w="3112" w:type="dxa"/>
            <w:gridSpan w:val="3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D6FD3F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Eigenvalues</w:t>
            </w:r>
          </w:p>
        </w:tc>
        <w:tc>
          <w:tcPr>
            <w:tcW w:w="3033" w:type="dxa"/>
            <w:gridSpan w:val="3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9BE3992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Rotation Sums of Squared Loadings</w:t>
            </w:r>
          </w:p>
        </w:tc>
      </w:tr>
      <w:tr w:rsidR="00B04B14" w:rsidRPr="00D8772C" w14:paraId="2CCC8FDB" w14:textId="77777777" w:rsidTr="00D8772C">
        <w:trPr>
          <w:trHeight w:val="510"/>
          <w:jc w:val="center"/>
        </w:trPr>
        <w:tc>
          <w:tcPr>
            <w:tcW w:w="94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B95BF62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BFE0E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E1557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 of Variance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54B34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Cumulative %</w:t>
            </w:r>
          </w:p>
        </w:tc>
        <w:tc>
          <w:tcPr>
            <w:tcW w:w="74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2BDE5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BAFEA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 of Variance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B2886EB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Cumulative %</w:t>
            </w:r>
          </w:p>
        </w:tc>
      </w:tr>
      <w:tr w:rsidR="00B04B14" w:rsidRPr="00D8772C" w14:paraId="3A934528" w14:textId="77777777" w:rsidTr="00D8772C">
        <w:trPr>
          <w:trHeight w:val="315"/>
          <w:jc w:val="center"/>
        </w:trPr>
        <w:tc>
          <w:tcPr>
            <w:tcW w:w="94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EB79E06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62160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B2782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25.551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77294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25.551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37521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132E6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11.755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80A9F70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11.755</w:t>
            </w:r>
          </w:p>
        </w:tc>
      </w:tr>
      <w:tr w:rsidR="00B04B14" w:rsidRPr="00D8772C" w14:paraId="2A959D89" w14:textId="77777777" w:rsidTr="00D8772C">
        <w:trPr>
          <w:trHeight w:val="300"/>
          <w:jc w:val="center"/>
        </w:trPr>
        <w:tc>
          <w:tcPr>
            <w:tcW w:w="94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ED0F595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A3E1A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D57A5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9.569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81382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35.120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12F66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45FB4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9.599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C685BC6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21.353</w:t>
            </w:r>
          </w:p>
        </w:tc>
      </w:tr>
      <w:tr w:rsidR="00B04B14" w:rsidRPr="00D8772C" w14:paraId="28366A09" w14:textId="77777777" w:rsidTr="00D8772C">
        <w:trPr>
          <w:trHeight w:val="300"/>
          <w:jc w:val="center"/>
        </w:trPr>
        <w:tc>
          <w:tcPr>
            <w:tcW w:w="94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8C96C1B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531C1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2B32B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8.095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074C8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43.215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CCF4E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9DB72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9.502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21484C6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30.855</w:t>
            </w:r>
          </w:p>
        </w:tc>
      </w:tr>
      <w:tr w:rsidR="00B04B14" w:rsidRPr="00D8772C" w14:paraId="66C68812" w14:textId="77777777" w:rsidTr="00D8772C">
        <w:trPr>
          <w:trHeight w:val="315"/>
          <w:jc w:val="center"/>
        </w:trPr>
        <w:tc>
          <w:tcPr>
            <w:tcW w:w="948" w:type="dxa"/>
            <w:tcBorders>
              <w:top w:val="nil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A8EA765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8BC82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4B9DF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6.275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B500B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49.490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A7A07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85C0D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8.028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2A032B7" w14:textId="77777777" w:rsidR="00B04B14" w:rsidRPr="00D8772C" w:rsidRDefault="00B04B14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38.883</w:t>
            </w:r>
          </w:p>
        </w:tc>
      </w:tr>
    </w:tbl>
    <w:p w14:paraId="334F33AB" w14:textId="74498C65" w:rsidR="00583A90" w:rsidRPr="00D8772C" w:rsidRDefault="00583A90" w:rsidP="00D877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Table 4. Total Variance Explained</w:t>
      </w:r>
    </w:p>
    <w:p w14:paraId="695F0276" w14:textId="5CBD63FD" w:rsidR="00B04B14" w:rsidRPr="00D8772C" w:rsidRDefault="00B04B14" w:rsidP="00D87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 xml:space="preserve">According to the table above by using </w:t>
      </w:r>
      <w:r w:rsidR="00A53318" w:rsidRPr="00D8772C">
        <w:rPr>
          <w:rFonts w:ascii="Times New Roman" w:hAnsi="Times New Roman" w:cs="Times New Roman"/>
          <w:sz w:val="24"/>
          <w:szCs w:val="24"/>
        </w:rPr>
        <w:t>maximum likelihood estimate</w:t>
      </w:r>
      <w:r w:rsidRPr="00D8772C">
        <w:rPr>
          <w:rFonts w:ascii="Times New Roman" w:hAnsi="Times New Roman" w:cs="Times New Roman"/>
          <w:sz w:val="24"/>
          <w:szCs w:val="24"/>
        </w:rPr>
        <w:t xml:space="preserve"> with varimax rotation total of </w:t>
      </w:r>
      <w:r w:rsidR="00A53318" w:rsidRPr="00D8772C">
        <w:rPr>
          <w:rFonts w:ascii="Times New Roman" w:hAnsi="Times New Roman" w:cs="Times New Roman"/>
          <w:sz w:val="24"/>
          <w:szCs w:val="24"/>
        </w:rPr>
        <w:t>38.8</w:t>
      </w:r>
      <w:r w:rsidR="002115F2" w:rsidRPr="00D8772C">
        <w:rPr>
          <w:rFonts w:ascii="Times New Roman" w:hAnsi="Times New Roman" w:cs="Times New Roman"/>
          <w:sz w:val="24"/>
          <w:szCs w:val="24"/>
        </w:rPr>
        <w:t>9</w:t>
      </w:r>
      <w:r w:rsidRPr="00D8772C">
        <w:rPr>
          <w:rFonts w:ascii="Times New Roman" w:hAnsi="Times New Roman" w:cs="Times New Roman"/>
          <w:sz w:val="24"/>
          <w:szCs w:val="24"/>
        </w:rPr>
        <w:t xml:space="preserve">% of variability can be explained </w:t>
      </w:r>
      <w:r w:rsidR="00E8416F" w:rsidRPr="00D8772C">
        <w:rPr>
          <w:rFonts w:ascii="Times New Roman" w:hAnsi="Times New Roman" w:cs="Times New Roman"/>
          <w:sz w:val="24"/>
          <w:szCs w:val="24"/>
        </w:rPr>
        <w:t xml:space="preserve">by </w:t>
      </w:r>
      <w:r w:rsidRPr="00D8772C">
        <w:rPr>
          <w:rFonts w:ascii="Times New Roman" w:hAnsi="Times New Roman" w:cs="Times New Roman"/>
          <w:sz w:val="24"/>
          <w:szCs w:val="24"/>
        </w:rPr>
        <w:t>using 4 components.</w:t>
      </w:r>
      <w:r w:rsidR="00E8416F" w:rsidRPr="00D8772C">
        <w:rPr>
          <w:rFonts w:ascii="Times New Roman" w:hAnsi="Times New Roman" w:cs="Times New Roman"/>
          <w:sz w:val="24"/>
          <w:szCs w:val="24"/>
        </w:rPr>
        <w:t xml:space="preserve"> After varimax rotation is applied, the total variance explained by the 4 components has been decreased from 49.49% to 38.883%. </w:t>
      </w:r>
    </w:p>
    <w:tbl>
      <w:tblPr>
        <w:tblW w:w="5652" w:type="dxa"/>
        <w:jc w:val="center"/>
        <w:tblLook w:val="04A0" w:firstRow="1" w:lastRow="0" w:firstColumn="1" w:lastColumn="0" w:noHBand="0" w:noVBand="1"/>
      </w:tblPr>
      <w:tblGrid>
        <w:gridCol w:w="2035"/>
        <w:gridCol w:w="936"/>
        <w:gridCol w:w="936"/>
        <w:gridCol w:w="936"/>
        <w:gridCol w:w="809"/>
      </w:tblGrid>
      <w:tr w:rsidR="00A53318" w:rsidRPr="00D8772C" w14:paraId="60E2CD7A" w14:textId="77777777" w:rsidTr="00D8772C">
        <w:trPr>
          <w:trHeight w:val="312"/>
          <w:jc w:val="center"/>
        </w:trPr>
        <w:tc>
          <w:tcPr>
            <w:tcW w:w="5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E6698" w14:textId="77777777" w:rsidR="00A53318" w:rsidRPr="00D8772C" w:rsidRDefault="00A53318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Rotated Factor </w:t>
            </w:r>
            <w:proofErr w:type="spellStart"/>
            <w:r w:rsidRPr="00D8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Matrix</w:t>
            </w:r>
            <w:r w:rsidRPr="00D8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A53318" w:rsidRPr="00D8772C" w14:paraId="7A08FB1B" w14:textId="77777777" w:rsidTr="00D8772C">
        <w:trPr>
          <w:trHeight w:val="312"/>
          <w:jc w:val="center"/>
        </w:trPr>
        <w:tc>
          <w:tcPr>
            <w:tcW w:w="203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7F1AFB0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16" w:type="dxa"/>
            <w:gridSpan w:val="4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0DEDE222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</w:t>
            </w:r>
          </w:p>
        </w:tc>
      </w:tr>
      <w:tr w:rsidR="00A53318" w:rsidRPr="00D8772C" w14:paraId="40D8948E" w14:textId="77777777" w:rsidTr="00D8772C">
        <w:trPr>
          <w:trHeight w:val="312"/>
          <w:jc w:val="center"/>
        </w:trPr>
        <w:tc>
          <w:tcPr>
            <w:tcW w:w="203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59622F5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7FD6D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21212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BFD5B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283441B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A53318" w:rsidRPr="00D8772C" w14:paraId="678BDEF4" w14:textId="77777777" w:rsidTr="00D8772C">
        <w:trPr>
          <w:trHeight w:val="312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4FC7CFC5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3F7A9DA5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.744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DFE9E0D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-.058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C025422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.189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5062560C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.170</w:t>
            </w:r>
          </w:p>
        </w:tc>
      </w:tr>
      <w:tr w:rsidR="00A53318" w:rsidRPr="00D8772C" w14:paraId="0004869F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7BF51340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03F06B93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.586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95B9A7A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A421D61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.116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256DCAA9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.196</w:t>
            </w:r>
          </w:p>
        </w:tc>
      </w:tr>
      <w:tr w:rsidR="00A53318" w:rsidRPr="00D8772C" w14:paraId="32A568DB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48AD3157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374ABD8F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.570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956EE51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.253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7016B53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.084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7C7F1715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.023</w:t>
            </w:r>
          </w:p>
        </w:tc>
      </w:tr>
      <w:tr w:rsidR="00A53318" w:rsidRPr="00D8772C" w14:paraId="2FC8BE87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0EB46683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39CD77F9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A8050C5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7A749B7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.086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77C3DB80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.128</w:t>
            </w:r>
          </w:p>
        </w:tc>
      </w:tr>
      <w:tr w:rsidR="00A53318" w:rsidRPr="00D8772C" w14:paraId="49C49656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434212CA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58D7AFBD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57DD620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.024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78C7C1E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.376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5382535A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.027</w:t>
            </w:r>
          </w:p>
        </w:tc>
      </w:tr>
      <w:tr w:rsidR="00A53318" w:rsidRPr="00D8772C" w14:paraId="0E09CD7F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15C837A3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3D0B2C40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.345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0AD6A64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7D761AF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2CCB4B05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.193</w:t>
            </w:r>
          </w:p>
        </w:tc>
      </w:tr>
      <w:tr w:rsidR="00A53318" w:rsidRPr="00D8772C" w14:paraId="5705D9A3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291D29F9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EE00F12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.337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54AF08AB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.654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9EC6DDF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.033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5E3FF77A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.158</w:t>
            </w:r>
          </w:p>
        </w:tc>
      </w:tr>
      <w:tr w:rsidR="00A53318" w:rsidRPr="00D8772C" w14:paraId="6894A9FD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167B25A6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D600635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.060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37DADBDF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231D1D3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-.070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2C4B875C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.391</w:t>
            </w:r>
          </w:p>
        </w:tc>
      </w:tr>
      <w:tr w:rsidR="00A53318" w:rsidRPr="00D8772C" w14:paraId="23651DE1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2A4A3963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C8842B5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-.246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12741F5B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BE39471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.064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34C2773D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.126</w:t>
            </w:r>
          </w:p>
        </w:tc>
      </w:tr>
      <w:tr w:rsidR="00A53318" w:rsidRPr="00D8772C" w14:paraId="62437B4C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7937F57C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SAC22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2D19173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.133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6CC5EF45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0792C12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.148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439C67B6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.013</w:t>
            </w:r>
          </w:p>
        </w:tc>
      </w:tr>
      <w:tr w:rsidR="00A53318" w:rsidRPr="00D8772C" w14:paraId="5BC8C693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51DDF12B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A79E14D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40C52947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6CD6E9E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.089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72199DD4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.065</w:t>
            </w:r>
          </w:p>
        </w:tc>
      </w:tr>
      <w:tr w:rsidR="00A53318" w:rsidRPr="00D8772C" w14:paraId="4B365EDE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4076D948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A7A7DDE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.343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383B77E7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.419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C73B2FB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.105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5DA62DC2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.143</w:t>
            </w:r>
          </w:p>
        </w:tc>
      </w:tr>
      <w:tr w:rsidR="00A53318" w:rsidRPr="00D8772C" w14:paraId="24C3323C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7FE239FE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4D7D331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6CDB37B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1C6B1D66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.716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54538FDF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.062</w:t>
            </w:r>
          </w:p>
        </w:tc>
      </w:tr>
      <w:tr w:rsidR="00A53318" w:rsidRPr="00D8772C" w14:paraId="02515B40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6F6AE190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25C533C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AF223CD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.138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165444D2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.603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39E0DB7F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.071</w:t>
            </w:r>
          </w:p>
        </w:tc>
      </w:tr>
      <w:tr w:rsidR="00A53318" w:rsidRPr="00D8772C" w14:paraId="320D8413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06265E00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8F0DEE0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.399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BA2FCAD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-.005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56C4441A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.573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427588CA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.151</w:t>
            </w:r>
          </w:p>
        </w:tc>
      </w:tr>
      <w:tr w:rsidR="00A53318" w:rsidRPr="00D8772C" w14:paraId="083BE633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4B90ACCF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8426E39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.181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78B3F32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.185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34044DBC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.547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242706C8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.365</w:t>
            </w:r>
          </w:p>
        </w:tc>
      </w:tr>
      <w:tr w:rsidR="00A53318" w:rsidRPr="00D8772C" w14:paraId="75366ED6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7CFAE733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08483F7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.147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6C77F0F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.024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hideMark/>
          </w:tcPr>
          <w:p w14:paraId="1E62449C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.473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3AEEC633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.403</w:t>
            </w:r>
          </w:p>
        </w:tc>
      </w:tr>
      <w:tr w:rsidR="00A53318" w:rsidRPr="00D8772C" w14:paraId="4BE06DAC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4446FF8D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2C6AF24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B39FFFF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B1EC6A9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.128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hideMark/>
          </w:tcPr>
          <w:p w14:paraId="36B7FFE3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.656</w:t>
            </w:r>
          </w:p>
        </w:tc>
      </w:tr>
      <w:tr w:rsidR="00A53318" w:rsidRPr="00D8772C" w14:paraId="5F64B099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7BDC40E3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BB249C3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1C49D14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ECAB692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.067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hideMark/>
          </w:tcPr>
          <w:p w14:paraId="01CAE29F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.526</w:t>
            </w:r>
          </w:p>
        </w:tc>
      </w:tr>
      <w:tr w:rsidR="00A53318" w:rsidRPr="00D8772C" w14:paraId="22D97D26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34D7B853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2C7115B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.351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9F1BBA8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9B8EF94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-.031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hideMark/>
          </w:tcPr>
          <w:p w14:paraId="16CBC88D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.403</w:t>
            </w:r>
          </w:p>
        </w:tc>
      </w:tr>
      <w:tr w:rsidR="00A53318" w:rsidRPr="00D8772C" w14:paraId="17DD26A8" w14:textId="77777777" w:rsidTr="00D8772C">
        <w:trPr>
          <w:trHeight w:val="297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0CA2EFED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1DB17C2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D2B6450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.072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4B42E0C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.199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00"/>
            <w:noWrap/>
            <w:hideMark/>
          </w:tcPr>
          <w:p w14:paraId="3F576C29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.383</w:t>
            </w:r>
          </w:p>
        </w:tc>
      </w:tr>
      <w:tr w:rsidR="00A53318" w:rsidRPr="00D8772C" w14:paraId="3A195B36" w14:textId="77777777" w:rsidTr="00D8772C">
        <w:trPr>
          <w:trHeight w:val="312"/>
          <w:jc w:val="center"/>
        </w:trPr>
        <w:tc>
          <w:tcPr>
            <w:tcW w:w="203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A20B2A1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SAC6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719BC8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.139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8724AEE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.095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B16F4C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.175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00"/>
            <w:noWrap/>
            <w:hideMark/>
          </w:tcPr>
          <w:p w14:paraId="49075A20" w14:textId="77777777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.285</w:t>
            </w:r>
          </w:p>
        </w:tc>
      </w:tr>
      <w:tr w:rsidR="00A53318" w:rsidRPr="00D8772C" w14:paraId="47D6C2D7" w14:textId="77777777" w:rsidTr="00D8772C">
        <w:trPr>
          <w:trHeight w:val="595"/>
          <w:jc w:val="center"/>
        </w:trPr>
        <w:tc>
          <w:tcPr>
            <w:tcW w:w="5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36781" w14:textId="77777777" w:rsidR="00E8416F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Extraction Method: Maximum Likelihood. </w:t>
            </w:r>
          </w:p>
          <w:p w14:paraId="207301DB" w14:textId="5DF5EC9F" w:rsidR="00A53318" w:rsidRPr="00D8772C" w:rsidRDefault="00A53318" w:rsidP="00D877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Rotation Method: Varimax with Kaiser Normalization.</w:t>
            </w:r>
          </w:p>
          <w:p w14:paraId="79CCFB6F" w14:textId="747A3E5F" w:rsidR="00E8416F" w:rsidRPr="00D8772C" w:rsidRDefault="00E8416F" w:rsidP="00D877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5. </w:t>
            </w:r>
            <w:r w:rsidRPr="00D8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Rotated Factor Matrix</w:t>
            </w:r>
          </w:p>
        </w:tc>
      </w:tr>
    </w:tbl>
    <w:p w14:paraId="14FD9324" w14:textId="23D0F5A3" w:rsidR="00A53318" w:rsidRPr="00D8772C" w:rsidRDefault="00A53318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 xml:space="preserve">Rotated </w:t>
      </w:r>
      <w:r w:rsidR="00E8416F" w:rsidRPr="00D8772C">
        <w:rPr>
          <w:rFonts w:ascii="Times New Roman" w:hAnsi="Times New Roman" w:cs="Times New Roman"/>
          <w:sz w:val="24"/>
          <w:szCs w:val="24"/>
        </w:rPr>
        <w:t>Factor</w:t>
      </w:r>
      <w:r w:rsidRPr="00D8772C">
        <w:rPr>
          <w:rFonts w:ascii="Times New Roman" w:hAnsi="Times New Roman" w:cs="Times New Roman"/>
          <w:sz w:val="24"/>
          <w:szCs w:val="24"/>
        </w:rPr>
        <w:t xml:space="preserve"> Matrix shows you the factor loadings for each variable and the high-lighted values are the strongest loading between its variable. Based </w:t>
      </w:r>
      <w:r w:rsidR="00E8416F" w:rsidRPr="00D8772C">
        <w:rPr>
          <w:rFonts w:ascii="Times New Roman" w:hAnsi="Times New Roman" w:cs="Times New Roman"/>
          <w:sz w:val="24"/>
          <w:szCs w:val="24"/>
        </w:rPr>
        <w:t>on</w:t>
      </w:r>
      <w:r w:rsidRPr="00D8772C">
        <w:rPr>
          <w:rFonts w:ascii="Times New Roman" w:hAnsi="Times New Roman" w:cs="Times New Roman"/>
          <w:sz w:val="24"/>
          <w:szCs w:val="24"/>
        </w:rPr>
        <w:t xml:space="preserve"> the factor loadings, </w:t>
      </w:r>
    </w:p>
    <w:p w14:paraId="5F02882B" w14:textId="77777777" w:rsidR="00A53318" w:rsidRPr="00D8772C" w:rsidRDefault="00A53318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Component 1 – SAC 7, SAC 13, SAC 14, SAC 16, SAC 19, SAC 20</w:t>
      </w:r>
    </w:p>
    <w:p w14:paraId="7F2ECD62" w14:textId="77777777" w:rsidR="00A53318" w:rsidRPr="00D8772C" w:rsidRDefault="00A53318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Component 2 - SAC 8, SAC 12, SAC 15, SAC 18, SAC 21, SAC 22</w:t>
      </w:r>
    </w:p>
    <w:p w14:paraId="418A1ACB" w14:textId="77777777" w:rsidR="00A53318" w:rsidRPr="00D8772C" w:rsidRDefault="00A53318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Component 3 - SAC 1, SAC 3, SAC 4 SAC 9, SAC 17</w:t>
      </w:r>
    </w:p>
    <w:p w14:paraId="6A32B0B1" w14:textId="77777777" w:rsidR="00A53318" w:rsidRPr="00D8772C" w:rsidRDefault="00A53318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Component 4 – SAC 2, SAC 5, SAC 6, SAC 10, SAC 11</w:t>
      </w:r>
    </w:p>
    <w:p w14:paraId="35B15310" w14:textId="77777777" w:rsidR="00A53318" w:rsidRPr="00D8772C" w:rsidRDefault="00A53318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8772C">
        <w:rPr>
          <w:rFonts w:ascii="Times New Roman" w:hAnsi="Times New Roman" w:cs="Times New Roman"/>
          <w:sz w:val="24"/>
          <w:szCs w:val="24"/>
          <w:u w:val="single"/>
        </w:rPr>
        <w:t>2.4 Comparison between Principal Component Factor Analysis (Varimax rotation) and Maximum Likelihood Factor Analysis (Varimax rotation)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2835"/>
      </w:tblGrid>
      <w:tr w:rsidR="005828EC" w:rsidRPr="00D8772C" w14:paraId="548115C4" w14:textId="77777777" w:rsidTr="00BA20E5">
        <w:tc>
          <w:tcPr>
            <w:tcW w:w="1809" w:type="dxa"/>
          </w:tcPr>
          <w:p w14:paraId="0C5C4476" w14:textId="77777777" w:rsidR="005828EC" w:rsidRPr="00D8772C" w:rsidRDefault="005828EC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4ABB1BF6" w14:textId="4FA68A32" w:rsidR="005828EC" w:rsidRPr="00D8772C" w:rsidRDefault="005828EC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Principal Component Analysis</w:t>
            </w:r>
          </w:p>
        </w:tc>
        <w:tc>
          <w:tcPr>
            <w:tcW w:w="2835" w:type="dxa"/>
            <w:vAlign w:val="center"/>
          </w:tcPr>
          <w:p w14:paraId="072C95F2" w14:textId="005DB2CE" w:rsidR="005828EC" w:rsidRPr="00D8772C" w:rsidRDefault="005828EC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055EB7" w:rsidRPr="00D8772C" w14:paraId="4511C22A" w14:textId="77777777" w:rsidTr="00BA20E5">
        <w:tc>
          <w:tcPr>
            <w:tcW w:w="1809" w:type="dxa"/>
            <w:vMerge w:val="restart"/>
          </w:tcPr>
          <w:p w14:paraId="772CEA86" w14:textId="6A48663F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Factor 1</w:t>
            </w:r>
          </w:p>
        </w:tc>
        <w:tc>
          <w:tcPr>
            <w:tcW w:w="3261" w:type="dxa"/>
            <w:vAlign w:val="center"/>
          </w:tcPr>
          <w:p w14:paraId="112E0D38" w14:textId="30AFE07B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7</w:t>
            </w:r>
          </w:p>
        </w:tc>
        <w:tc>
          <w:tcPr>
            <w:tcW w:w="2835" w:type="dxa"/>
            <w:vAlign w:val="center"/>
          </w:tcPr>
          <w:p w14:paraId="2EBDDE9C" w14:textId="1065B43E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7</w:t>
            </w:r>
          </w:p>
        </w:tc>
      </w:tr>
      <w:tr w:rsidR="00055EB7" w:rsidRPr="00D8772C" w14:paraId="52AC9634" w14:textId="77777777" w:rsidTr="00BA20E5">
        <w:tc>
          <w:tcPr>
            <w:tcW w:w="1809" w:type="dxa"/>
            <w:vMerge/>
          </w:tcPr>
          <w:p w14:paraId="5552A7A3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5EF60502" w14:textId="6643AA18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13</w:t>
            </w:r>
          </w:p>
        </w:tc>
        <w:tc>
          <w:tcPr>
            <w:tcW w:w="2835" w:type="dxa"/>
            <w:vAlign w:val="center"/>
          </w:tcPr>
          <w:p w14:paraId="1F2B140A" w14:textId="28C0648C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13</w:t>
            </w:r>
          </w:p>
        </w:tc>
      </w:tr>
      <w:tr w:rsidR="00055EB7" w:rsidRPr="00D8772C" w14:paraId="534AF2B1" w14:textId="77777777" w:rsidTr="00BA20E5">
        <w:tc>
          <w:tcPr>
            <w:tcW w:w="1809" w:type="dxa"/>
            <w:vMerge/>
          </w:tcPr>
          <w:p w14:paraId="420B292C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4137667C" w14:textId="4CE14BA3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14</w:t>
            </w:r>
          </w:p>
        </w:tc>
        <w:tc>
          <w:tcPr>
            <w:tcW w:w="2835" w:type="dxa"/>
            <w:vAlign w:val="center"/>
          </w:tcPr>
          <w:p w14:paraId="0563734D" w14:textId="77DE2746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14</w:t>
            </w:r>
          </w:p>
        </w:tc>
      </w:tr>
      <w:tr w:rsidR="00055EB7" w:rsidRPr="00D8772C" w14:paraId="3C55D322" w14:textId="77777777" w:rsidTr="00BA20E5">
        <w:tc>
          <w:tcPr>
            <w:tcW w:w="1809" w:type="dxa"/>
            <w:vMerge/>
          </w:tcPr>
          <w:p w14:paraId="7D4D4019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17A0EA15" w14:textId="7A1F7BC9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16</w:t>
            </w:r>
          </w:p>
        </w:tc>
        <w:tc>
          <w:tcPr>
            <w:tcW w:w="2835" w:type="dxa"/>
            <w:vAlign w:val="center"/>
          </w:tcPr>
          <w:p w14:paraId="1340E9CB" w14:textId="20958F29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16</w:t>
            </w:r>
          </w:p>
        </w:tc>
      </w:tr>
      <w:tr w:rsidR="00055EB7" w:rsidRPr="00D8772C" w14:paraId="06F3DAAB" w14:textId="77777777" w:rsidTr="00BA20E5">
        <w:tc>
          <w:tcPr>
            <w:tcW w:w="1809" w:type="dxa"/>
            <w:vMerge/>
          </w:tcPr>
          <w:p w14:paraId="439196A5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434D02DF" w14:textId="24DCCA7A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19</w:t>
            </w:r>
          </w:p>
        </w:tc>
        <w:tc>
          <w:tcPr>
            <w:tcW w:w="2835" w:type="dxa"/>
            <w:vAlign w:val="center"/>
          </w:tcPr>
          <w:p w14:paraId="7C73F110" w14:textId="24A1CC92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19</w:t>
            </w:r>
          </w:p>
        </w:tc>
      </w:tr>
      <w:tr w:rsidR="00055EB7" w:rsidRPr="00D8772C" w14:paraId="532B8672" w14:textId="77777777" w:rsidTr="00BA20E5">
        <w:tc>
          <w:tcPr>
            <w:tcW w:w="1809" w:type="dxa"/>
            <w:vMerge/>
          </w:tcPr>
          <w:p w14:paraId="54187C4E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4A65A04A" w14:textId="455078EC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20</w:t>
            </w:r>
          </w:p>
        </w:tc>
        <w:tc>
          <w:tcPr>
            <w:tcW w:w="2835" w:type="dxa"/>
            <w:vAlign w:val="center"/>
          </w:tcPr>
          <w:p w14:paraId="37C31C90" w14:textId="6E31CB1D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20</w:t>
            </w:r>
          </w:p>
        </w:tc>
      </w:tr>
      <w:tr w:rsidR="00055EB7" w:rsidRPr="00D8772C" w14:paraId="4315977E" w14:textId="77777777" w:rsidTr="00BA20E5">
        <w:tc>
          <w:tcPr>
            <w:tcW w:w="1809" w:type="dxa"/>
            <w:vMerge w:val="restart"/>
          </w:tcPr>
          <w:p w14:paraId="47D19DDA" w14:textId="03369419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Factor 2</w:t>
            </w:r>
          </w:p>
        </w:tc>
        <w:tc>
          <w:tcPr>
            <w:tcW w:w="3261" w:type="dxa"/>
            <w:vAlign w:val="center"/>
          </w:tcPr>
          <w:p w14:paraId="4FA19740" w14:textId="7095B943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8</w:t>
            </w:r>
          </w:p>
        </w:tc>
        <w:tc>
          <w:tcPr>
            <w:tcW w:w="2835" w:type="dxa"/>
            <w:vAlign w:val="center"/>
          </w:tcPr>
          <w:p w14:paraId="0534510A" w14:textId="11CB921A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8</w:t>
            </w:r>
          </w:p>
        </w:tc>
      </w:tr>
      <w:tr w:rsidR="00055EB7" w:rsidRPr="00D8772C" w14:paraId="24DD0AED" w14:textId="77777777" w:rsidTr="00BA20E5">
        <w:tc>
          <w:tcPr>
            <w:tcW w:w="1809" w:type="dxa"/>
            <w:vMerge/>
          </w:tcPr>
          <w:p w14:paraId="4DCE22C1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781825CB" w14:textId="3AF12791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12</w:t>
            </w:r>
          </w:p>
        </w:tc>
        <w:tc>
          <w:tcPr>
            <w:tcW w:w="2835" w:type="dxa"/>
            <w:vAlign w:val="center"/>
          </w:tcPr>
          <w:p w14:paraId="516EDB39" w14:textId="49B0A552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12</w:t>
            </w:r>
          </w:p>
        </w:tc>
      </w:tr>
      <w:tr w:rsidR="00055EB7" w:rsidRPr="00D8772C" w14:paraId="2A9985CA" w14:textId="77777777" w:rsidTr="00BA20E5">
        <w:tc>
          <w:tcPr>
            <w:tcW w:w="1809" w:type="dxa"/>
            <w:vMerge/>
          </w:tcPr>
          <w:p w14:paraId="0A3AF320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128DC880" w14:textId="5087B2A0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15</w:t>
            </w:r>
          </w:p>
        </w:tc>
        <w:tc>
          <w:tcPr>
            <w:tcW w:w="2835" w:type="dxa"/>
            <w:vAlign w:val="center"/>
          </w:tcPr>
          <w:p w14:paraId="6451A0FA" w14:textId="18C30545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15</w:t>
            </w:r>
          </w:p>
        </w:tc>
      </w:tr>
      <w:tr w:rsidR="00055EB7" w:rsidRPr="00D8772C" w14:paraId="3555787A" w14:textId="77777777" w:rsidTr="00BA20E5">
        <w:tc>
          <w:tcPr>
            <w:tcW w:w="1809" w:type="dxa"/>
            <w:vMerge/>
          </w:tcPr>
          <w:p w14:paraId="32BA85BA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38A91127" w14:textId="00DC92E0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18</w:t>
            </w:r>
          </w:p>
        </w:tc>
        <w:tc>
          <w:tcPr>
            <w:tcW w:w="2835" w:type="dxa"/>
            <w:vAlign w:val="center"/>
          </w:tcPr>
          <w:p w14:paraId="4903E42D" w14:textId="0CADF0AD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18</w:t>
            </w:r>
          </w:p>
        </w:tc>
      </w:tr>
      <w:tr w:rsidR="00055EB7" w:rsidRPr="00D8772C" w14:paraId="745FA4BB" w14:textId="77777777" w:rsidTr="00BA20E5">
        <w:tc>
          <w:tcPr>
            <w:tcW w:w="1809" w:type="dxa"/>
            <w:vMerge/>
          </w:tcPr>
          <w:p w14:paraId="66A2EA66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13073A1A" w14:textId="28FB3A52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21</w:t>
            </w:r>
          </w:p>
        </w:tc>
        <w:tc>
          <w:tcPr>
            <w:tcW w:w="2835" w:type="dxa"/>
            <w:vAlign w:val="center"/>
          </w:tcPr>
          <w:p w14:paraId="174CB244" w14:textId="07F6D0B4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21</w:t>
            </w:r>
          </w:p>
        </w:tc>
      </w:tr>
      <w:tr w:rsidR="00055EB7" w:rsidRPr="00D8772C" w14:paraId="4FC4E7B3" w14:textId="77777777" w:rsidTr="00BA20E5">
        <w:tc>
          <w:tcPr>
            <w:tcW w:w="1809" w:type="dxa"/>
            <w:vMerge/>
          </w:tcPr>
          <w:p w14:paraId="7AAF8835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3B0958B5" w14:textId="48F9364E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22</w:t>
            </w:r>
          </w:p>
        </w:tc>
        <w:tc>
          <w:tcPr>
            <w:tcW w:w="2835" w:type="dxa"/>
            <w:vAlign w:val="center"/>
          </w:tcPr>
          <w:p w14:paraId="709CF08B" w14:textId="22B1312E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22</w:t>
            </w:r>
          </w:p>
        </w:tc>
      </w:tr>
      <w:tr w:rsidR="00055EB7" w:rsidRPr="00D8772C" w14:paraId="3D5A63D9" w14:textId="77777777" w:rsidTr="00BA20E5">
        <w:tc>
          <w:tcPr>
            <w:tcW w:w="1809" w:type="dxa"/>
            <w:vMerge w:val="restart"/>
          </w:tcPr>
          <w:p w14:paraId="37CB9609" w14:textId="0BA9FC4F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Factor 3</w:t>
            </w:r>
          </w:p>
        </w:tc>
        <w:tc>
          <w:tcPr>
            <w:tcW w:w="3261" w:type="dxa"/>
            <w:vAlign w:val="center"/>
          </w:tcPr>
          <w:p w14:paraId="18479DEE" w14:textId="3C67DAEE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</w:t>
            </w:r>
          </w:p>
        </w:tc>
        <w:tc>
          <w:tcPr>
            <w:tcW w:w="2835" w:type="dxa"/>
            <w:vAlign w:val="center"/>
          </w:tcPr>
          <w:p w14:paraId="0E8271F4" w14:textId="5226051B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</w:t>
            </w:r>
          </w:p>
        </w:tc>
      </w:tr>
      <w:tr w:rsidR="00055EB7" w:rsidRPr="00D8772C" w14:paraId="7248961F" w14:textId="77777777" w:rsidTr="00BA20E5">
        <w:tc>
          <w:tcPr>
            <w:tcW w:w="1809" w:type="dxa"/>
            <w:vMerge/>
          </w:tcPr>
          <w:p w14:paraId="0985EC98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71D22C20" w14:textId="7746A969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3</w:t>
            </w:r>
          </w:p>
        </w:tc>
        <w:tc>
          <w:tcPr>
            <w:tcW w:w="2835" w:type="dxa"/>
            <w:vAlign w:val="center"/>
          </w:tcPr>
          <w:p w14:paraId="26F3CE93" w14:textId="179EB228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3</w:t>
            </w:r>
          </w:p>
        </w:tc>
      </w:tr>
      <w:tr w:rsidR="00055EB7" w:rsidRPr="00D8772C" w14:paraId="1E62C77C" w14:textId="77777777" w:rsidTr="00BA20E5">
        <w:tc>
          <w:tcPr>
            <w:tcW w:w="1809" w:type="dxa"/>
            <w:vMerge/>
          </w:tcPr>
          <w:p w14:paraId="14780139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5AD39CC1" w14:textId="6CDE0FE3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4</w:t>
            </w:r>
          </w:p>
        </w:tc>
        <w:tc>
          <w:tcPr>
            <w:tcW w:w="2835" w:type="dxa"/>
            <w:vAlign w:val="center"/>
          </w:tcPr>
          <w:p w14:paraId="03318909" w14:textId="3E2557BD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4</w:t>
            </w:r>
          </w:p>
        </w:tc>
      </w:tr>
      <w:tr w:rsidR="00055EB7" w:rsidRPr="00D8772C" w14:paraId="748404E2" w14:textId="77777777" w:rsidTr="00BA20E5">
        <w:tc>
          <w:tcPr>
            <w:tcW w:w="1809" w:type="dxa"/>
            <w:vMerge/>
          </w:tcPr>
          <w:p w14:paraId="63231F83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557CC6E5" w14:textId="1E14634A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9</w:t>
            </w:r>
          </w:p>
        </w:tc>
        <w:tc>
          <w:tcPr>
            <w:tcW w:w="2835" w:type="dxa"/>
            <w:vAlign w:val="center"/>
          </w:tcPr>
          <w:p w14:paraId="2EE72505" w14:textId="39A3B1C5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9</w:t>
            </w:r>
          </w:p>
        </w:tc>
      </w:tr>
      <w:tr w:rsidR="00055EB7" w:rsidRPr="00D8772C" w14:paraId="07048EE9" w14:textId="77777777" w:rsidTr="00BA20E5">
        <w:tc>
          <w:tcPr>
            <w:tcW w:w="1809" w:type="dxa"/>
            <w:vMerge/>
          </w:tcPr>
          <w:p w14:paraId="39503C55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56276304" w14:textId="0F31D00C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17</w:t>
            </w:r>
          </w:p>
        </w:tc>
        <w:tc>
          <w:tcPr>
            <w:tcW w:w="2835" w:type="dxa"/>
            <w:vAlign w:val="center"/>
          </w:tcPr>
          <w:p w14:paraId="400E7E00" w14:textId="57E7B0AD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17</w:t>
            </w:r>
          </w:p>
        </w:tc>
      </w:tr>
      <w:tr w:rsidR="00055EB7" w:rsidRPr="00D8772C" w14:paraId="5F97442E" w14:textId="77777777" w:rsidTr="00BA20E5">
        <w:tc>
          <w:tcPr>
            <w:tcW w:w="1809" w:type="dxa"/>
            <w:vMerge w:val="restart"/>
          </w:tcPr>
          <w:p w14:paraId="6BCC2CD4" w14:textId="5E9A802B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Factor 4</w:t>
            </w:r>
          </w:p>
        </w:tc>
        <w:tc>
          <w:tcPr>
            <w:tcW w:w="3261" w:type="dxa"/>
            <w:vAlign w:val="center"/>
          </w:tcPr>
          <w:p w14:paraId="12E0C245" w14:textId="374D152F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2</w:t>
            </w:r>
          </w:p>
        </w:tc>
        <w:tc>
          <w:tcPr>
            <w:tcW w:w="2835" w:type="dxa"/>
            <w:vAlign w:val="center"/>
          </w:tcPr>
          <w:p w14:paraId="53899147" w14:textId="4231E3B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2</w:t>
            </w:r>
          </w:p>
        </w:tc>
      </w:tr>
      <w:tr w:rsidR="00055EB7" w:rsidRPr="00D8772C" w14:paraId="166001A0" w14:textId="77777777" w:rsidTr="00BA20E5">
        <w:tc>
          <w:tcPr>
            <w:tcW w:w="1809" w:type="dxa"/>
            <w:vMerge/>
          </w:tcPr>
          <w:p w14:paraId="26642BC9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6BF08413" w14:textId="23326D91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5</w:t>
            </w:r>
          </w:p>
        </w:tc>
        <w:tc>
          <w:tcPr>
            <w:tcW w:w="2835" w:type="dxa"/>
            <w:vAlign w:val="center"/>
          </w:tcPr>
          <w:p w14:paraId="0507C6BD" w14:textId="0EF9CE7B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5</w:t>
            </w:r>
          </w:p>
        </w:tc>
      </w:tr>
      <w:tr w:rsidR="00055EB7" w:rsidRPr="00D8772C" w14:paraId="2DE4994B" w14:textId="77777777" w:rsidTr="00BA20E5">
        <w:tc>
          <w:tcPr>
            <w:tcW w:w="1809" w:type="dxa"/>
            <w:vMerge/>
          </w:tcPr>
          <w:p w14:paraId="15AB9B62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7374AABB" w14:textId="60A2092C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6</w:t>
            </w:r>
          </w:p>
        </w:tc>
        <w:tc>
          <w:tcPr>
            <w:tcW w:w="2835" w:type="dxa"/>
            <w:vAlign w:val="center"/>
          </w:tcPr>
          <w:p w14:paraId="5DC6C79C" w14:textId="207306D9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6</w:t>
            </w:r>
          </w:p>
        </w:tc>
      </w:tr>
      <w:tr w:rsidR="00055EB7" w:rsidRPr="00D8772C" w14:paraId="478CE1DA" w14:textId="77777777" w:rsidTr="00BA20E5">
        <w:tc>
          <w:tcPr>
            <w:tcW w:w="1809" w:type="dxa"/>
            <w:vMerge/>
          </w:tcPr>
          <w:p w14:paraId="195B1D11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5776C295" w14:textId="4346D159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10</w:t>
            </w:r>
          </w:p>
        </w:tc>
        <w:tc>
          <w:tcPr>
            <w:tcW w:w="2835" w:type="dxa"/>
            <w:vAlign w:val="center"/>
          </w:tcPr>
          <w:p w14:paraId="0213AAD2" w14:textId="77DA753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10</w:t>
            </w:r>
          </w:p>
        </w:tc>
      </w:tr>
      <w:tr w:rsidR="00055EB7" w:rsidRPr="00D8772C" w14:paraId="00D6022C" w14:textId="77777777" w:rsidTr="00BA20E5">
        <w:tc>
          <w:tcPr>
            <w:tcW w:w="1809" w:type="dxa"/>
            <w:vMerge/>
          </w:tcPr>
          <w:p w14:paraId="5917977A" w14:textId="77777777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791B1C07" w14:textId="0EDA208C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11</w:t>
            </w:r>
          </w:p>
        </w:tc>
        <w:tc>
          <w:tcPr>
            <w:tcW w:w="2835" w:type="dxa"/>
            <w:vAlign w:val="center"/>
          </w:tcPr>
          <w:p w14:paraId="200F2A49" w14:textId="12CFBCA3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SAC 11</w:t>
            </w:r>
          </w:p>
        </w:tc>
      </w:tr>
      <w:tr w:rsidR="00055EB7" w:rsidRPr="00D8772C" w14:paraId="3E1302A7" w14:textId="77777777" w:rsidTr="00BA20E5">
        <w:tc>
          <w:tcPr>
            <w:tcW w:w="1809" w:type="dxa"/>
          </w:tcPr>
          <w:p w14:paraId="43D43BCF" w14:textId="192B02BB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Total variance explained</w:t>
            </w:r>
          </w:p>
        </w:tc>
        <w:tc>
          <w:tcPr>
            <w:tcW w:w="3261" w:type="dxa"/>
            <w:vAlign w:val="center"/>
          </w:tcPr>
          <w:p w14:paraId="4007590E" w14:textId="21BFC05B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49.9%</w:t>
            </w:r>
          </w:p>
        </w:tc>
        <w:tc>
          <w:tcPr>
            <w:tcW w:w="2835" w:type="dxa"/>
            <w:vAlign w:val="center"/>
          </w:tcPr>
          <w:p w14:paraId="74F0344A" w14:textId="5443394D" w:rsidR="00055EB7" w:rsidRPr="00D8772C" w:rsidRDefault="00055EB7" w:rsidP="00D87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72C">
              <w:rPr>
                <w:rFonts w:ascii="Times New Roman" w:hAnsi="Times New Roman" w:cs="Times New Roman"/>
                <w:sz w:val="24"/>
                <w:szCs w:val="24"/>
              </w:rPr>
              <w:t>38.89%</w:t>
            </w:r>
          </w:p>
        </w:tc>
      </w:tr>
    </w:tbl>
    <w:p w14:paraId="2C29B462" w14:textId="1AFDED58" w:rsidR="00E8416F" w:rsidRPr="00D8772C" w:rsidRDefault="00E8416F" w:rsidP="00D8772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Table 6. Comparison between PCA and MLE</w:t>
      </w:r>
    </w:p>
    <w:p w14:paraId="31CD2EE0" w14:textId="75B41D16" w:rsidR="00A53318" w:rsidRPr="00D8772C" w:rsidRDefault="00E8416F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72C">
        <w:rPr>
          <w:rFonts w:ascii="Times New Roman" w:hAnsi="Times New Roman" w:cs="Times New Roman"/>
          <w:sz w:val="24"/>
          <w:szCs w:val="24"/>
        </w:rPr>
        <w:t>Table 6</w:t>
      </w:r>
      <w:r w:rsidR="002115F2" w:rsidRPr="00D8772C">
        <w:rPr>
          <w:rFonts w:ascii="Times New Roman" w:hAnsi="Times New Roman" w:cs="Times New Roman"/>
          <w:sz w:val="24"/>
          <w:szCs w:val="24"/>
        </w:rPr>
        <w:t xml:space="preserve"> shows that using Principle Component </w:t>
      </w:r>
      <w:r w:rsidRPr="00D8772C">
        <w:rPr>
          <w:rFonts w:ascii="Times New Roman" w:hAnsi="Times New Roman" w:cs="Times New Roman"/>
          <w:sz w:val="24"/>
          <w:szCs w:val="24"/>
        </w:rPr>
        <w:t xml:space="preserve">Analysis </w:t>
      </w:r>
      <w:r w:rsidR="002115F2" w:rsidRPr="00D8772C">
        <w:rPr>
          <w:rFonts w:ascii="Times New Roman" w:hAnsi="Times New Roman" w:cs="Times New Roman"/>
          <w:sz w:val="24"/>
          <w:szCs w:val="24"/>
        </w:rPr>
        <w:t xml:space="preserve">and Maximum Likelihood the </w:t>
      </w:r>
      <w:r w:rsidRPr="00D8772C">
        <w:rPr>
          <w:rFonts w:ascii="Times New Roman" w:hAnsi="Times New Roman" w:cs="Times New Roman"/>
          <w:sz w:val="24"/>
          <w:szCs w:val="24"/>
        </w:rPr>
        <w:t xml:space="preserve">same </w:t>
      </w:r>
      <w:r w:rsidR="002115F2" w:rsidRPr="00D8772C">
        <w:rPr>
          <w:rFonts w:ascii="Times New Roman" w:hAnsi="Times New Roman" w:cs="Times New Roman"/>
          <w:sz w:val="24"/>
          <w:szCs w:val="24"/>
        </w:rPr>
        <w:t>variables will fall in the same components</w:t>
      </w:r>
      <w:r w:rsidRPr="00D8772C">
        <w:rPr>
          <w:rFonts w:ascii="Times New Roman" w:hAnsi="Times New Roman" w:cs="Times New Roman"/>
          <w:sz w:val="24"/>
          <w:szCs w:val="24"/>
        </w:rPr>
        <w:t xml:space="preserve"> res</w:t>
      </w:r>
      <w:bookmarkStart w:id="0" w:name="_GoBack"/>
      <w:bookmarkEnd w:id="0"/>
      <w:r w:rsidRPr="00D8772C">
        <w:rPr>
          <w:rFonts w:ascii="Times New Roman" w:hAnsi="Times New Roman" w:cs="Times New Roman"/>
          <w:sz w:val="24"/>
          <w:szCs w:val="24"/>
        </w:rPr>
        <w:t>pectively</w:t>
      </w:r>
      <w:r w:rsidR="002115F2" w:rsidRPr="00D8772C">
        <w:rPr>
          <w:rFonts w:ascii="Times New Roman" w:hAnsi="Times New Roman" w:cs="Times New Roman"/>
          <w:sz w:val="24"/>
          <w:szCs w:val="24"/>
        </w:rPr>
        <w:t xml:space="preserve">, </w:t>
      </w:r>
      <w:r w:rsidRPr="00D8772C">
        <w:rPr>
          <w:rFonts w:ascii="Times New Roman" w:hAnsi="Times New Roman" w:cs="Times New Roman"/>
          <w:sz w:val="24"/>
          <w:szCs w:val="24"/>
        </w:rPr>
        <w:t>which means</w:t>
      </w:r>
      <w:r w:rsidR="002115F2" w:rsidRPr="00D8772C">
        <w:rPr>
          <w:rFonts w:ascii="Times New Roman" w:hAnsi="Times New Roman" w:cs="Times New Roman"/>
          <w:sz w:val="24"/>
          <w:szCs w:val="24"/>
        </w:rPr>
        <w:t xml:space="preserve"> that the variables are in the same group. Since the variance explained by Principal Component </w:t>
      </w:r>
      <w:r w:rsidRPr="00D8772C">
        <w:rPr>
          <w:rFonts w:ascii="Times New Roman" w:hAnsi="Times New Roman" w:cs="Times New Roman"/>
          <w:sz w:val="24"/>
          <w:szCs w:val="24"/>
        </w:rPr>
        <w:t xml:space="preserve">Analysis </w:t>
      </w:r>
      <w:r w:rsidR="002115F2" w:rsidRPr="00D8772C">
        <w:rPr>
          <w:rFonts w:ascii="Times New Roman" w:hAnsi="Times New Roman" w:cs="Times New Roman"/>
          <w:sz w:val="24"/>
          <w:szCs w:val="24"/>
        </w:rPr>
        <w:t>(49.49%) is higher that Maximum Likelihood (38.89%)</w:t>
      </w:r>
      <w:r w:rsidRPr="00D8772C">
        <w:rPr>
          <w:rFonts w:ascii="Times New Roman" w:hAnsi="Times New Roman" w:cs="Times New Roman"/>
          <w:sz w:val="24"/>
          <w:szCs w:val="24"/>
        </w:rPr>
        <w:t>,</w:t>
      </w:r>
      <w:r w:rsidR="002115F2" w:rsidRPr="00D8772C">
        <w:rPr>
          <w:rFonts w:ascii="Times New Roman" w:hAnsi="Times New Roman" w:cs="Times New Roman"/>
          <w:sz w:val="24"/>
          <w:szCs w:val="24"/>
        </w:rPr>
        <w:t xml:space="preserve"> so factor analysis using Principal Component</w:t>
      </w:r>
      <w:r w:rsidRPr="00D8772C">
        <w:rPr>
          <w:rFonts w:ascii="Times New Roman" w:hAnsi="Times New Roman" w:cs="Times New Roman"/>
          <w:sz w:val="24"/>
          <w:szCs w:val="24"/>
        </w:rPr>
        <w:t xml:space="preserve"> Analysis</w:t>
      </w:r>
      <w:r w:rsidR="002115F2" w:rsidRPr="00D8772C">
        <w:rPr>
          <w:rFonts w:ascii="Times New Roman" w:hAnsi="Times New Roman" w:cs="Times New Roman"/>
          <w:sz w:val="24"/>
          <w:szCs w:val="24"/>
        </w:rPr>
        <w:t xml:space="preserve"> with Varimax Rotation is much more suitable.</w:t>
      </w:r>
    </w:p>
    <w:p w14:paraId="278C2437" w14:textId="77777777" w:rsidR="00B04B14" w:rsidRPr="00D8772C" w:rsidRDefault="00B04B14" w:rsidP="00D8772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CD78D2E" w14:textId="77777777" w:rsidR="00B01BFD" w:rsidRPr="00D8772C" w:rsidRDefault="00B01BFD" w:rsidP="00D877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FFCCC" w14:textId="77777777" w:rsidR="00B01BFD" w:rsidRPr="00D8772C" w:rsidRDefault="00B01BFD" w:rsidP="00D87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B01BFD" w:rsidRPr="00D8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6D"/>
    <w:rsid w:val="00055EB7"/>
    <w:rsid w:val="000E74E2"/>
    <w:rsid w:val="001555B3"/>
    <w:rsid w:val="001C54A5"/>
    <w:rsid w:val="001E2FFF"/>
    <w:rsid w:val="002115F2"/>
    <w:rsid w:val="00433A6D"/>
    <w:rsid w:val="00474964"/>
    <w:rsid w:val="005828EC"/>
    <w:rsid w:val="00583A90"/>
    <w:rsid w:val="0072048B"/>
    <w:rsid w:val="00764CC8"/>
    <w:rsid w:val="008B4598"/>
    <w:rsid w:val="008C453C"/>
    <w:rsid w:val="009164C7"/>
    <w:rsid w:val="00A53318"/>
    <w:rsid w:val="00B01BFD"/>
    <w:rsid w:val="00B04B14"/>
    <w:rsid w:val="00BA20E5"/>
    <w:rsid w:val="00D770B5"/>
    <w:rsid w:val="00D8772C"/>
    <w:rsid w:val="00E77CCA"/>
    <w:rsid w:val="00E8416F"/>
    <w:rsid w:val="00EC419F"/>
    <w:rsid w:val="00F7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A007"/>
  <w15:docId w15:val="{F35F5201-59D3-4FA3-A9C2-D14E389A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B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01B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58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AD58F-E552-488C-9B15-09787DE9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Choo Jai Wei</dc:creator>
  <cp:lastModifiedBy>Yen Lin</cp:lastModifiedBy>
  <cp:revision>6</cp:revision>
  <dcterms:created xsi:type="dcterms:W3CDTF">2019-08-23T06:17:00Z</dcterms:created>
  <dcterms:modified xsi:type="dcterms:W3CDTF">2019-08-23T10:28:00Z</dcterms:modified>
</cp:coreProperties>
</file>