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80F95" w14:textId="171A198B" w:rsidR="00DA1017" w:rsidRPr="00DA1017" w:rsidRDefault="00DA1017" w:rsidP="00DA1017">
      <w:pPr>
        <w:rPr>
          <w:rFonts w:hint="eastAsia"/>
          <w:b/>
          <w:bCs/>
        </w:rPr>
      </w:pPr>
      <w:r w:rsidRPr="00DA1017">
        <w:rPr>
          <w:b/>
          <w:bCs/>
        </w:rPr>
        <w:t>From Globally Static to Node- and Time-Adaptive Spatiotemporal Forecasting: Reproduction and Improvement of STH-</w:t>
      </w:r>
      <w:proofErr w:type="spellStart"/>
      <w:r w:rsidRPr="00DA1017">
        <w:rPr>
          <w:b/>
          <w:bCs/>
        </w:rPr>
        <w:t>SepNet</w:t>
      </w:r>
      <w:proofErr w:type="spellEnd"/>
    </w:p>
    <w:p w14:paraId="24E50D9F" w14:textId="1E843B80" w:rsidR="00DA1017" w:rsidRPr="00DA1017" w:rsidRDefault="00DA1017">
      <w:pPr>
        <w:rPr>
          <w:rFonts w:hint="eastAsia"/>
          <w:b/>
          <w:bCs/>
        </w:rPr>
      </w:pPr>
      <w:r w:rsidRPr="00DA1017">
        <w:rPr>
          <w:b/>
          <w:bCs/>
        </w:rPr>
        <w:t>Abstract</w:t>
      </w:r>
    </w:p>
    <w:p w14:paraId="0100F426" w14:textId="536C8324" w:rsidR="00DA1017" w:rsidRDefault="00DA1017" w:rsidP="00DA1017">
      <w:pPr>
        <w:jc w:val="both"/>
      </w:pPr>
      <w:r w:rsidRPr="00DA1017">
        <w:t>This report reproduces and improves STH-</w:t>
      </w:r>
      <w:proofErr w:type="spellStart"/>
      <w:r w:rsidRPr="00DA1017">
        <w:t>SepNet</w:t>
      </w:r>
      <w:proofErr w:type="spellEnd"/>
      <w:r w:rsidRPr="00DA1017">
        <w:t>, a spatiotemporal traffic forecasting model that combines a BERT-style temporal backbone with hypergraph-based spatial modeling. We identify three limitations in the original pipeline: (</w:t>
      </w:r>
      <w:proofErr w:type="spellStart"/>
      <w:r w:rsidRPr="00DA1017">
        <w:t>i</w:t>
      </w:r>
      <w:proofErr w:type="spellEnd"/>
      <w:r w:rsidRPr="00DA1017">
        <w:t>) sequences from all road segments are averaged before BERT, which obscures node-specific intra-day and cross-day periodic patterns; (ii) the GCN–hypergraph fusion coefficient is fixed and cannot adapt to heterogeneous nodes and time steps; and (iii) the MLP prediction head uses fixed activations and may have limited capacity for the final nonlinear mapping. We formulate three corresponding improvement hypotheses: H1 multi-period memory at the representation stage, H2 node–time adaptive gating at the fusion stage, and H3 a KAN prediction head at the prediction stage. We pilot H1 on PEMS03 and H3 on BIKE-Inflow. H1 reduces MAE from 21.5005 to 17.9783 and RMSE from 32.8145 to 28.4649 on PEMS03, while H3 reduces MAE from 5.2570 ± 0.0302 to 5.1006 ± 0.0240 and RMSE from 14.1383 ± 0.0462 to 13.4306 ± 0.0908 on BIKE-Inflow over three seeds. Because H1 shows the larger relative pilot gain, it is selected for full evaluation across five datasets: BIKE-Inflow, BIKE-Outflow, PEMS03, BJ500, and METR-LA. H3 is retained as a controlled ablation. We report baseline reproduction, H1 full-evaluation results, discrepancy diagnosis, fairness controls, limitations, and agent-use provenance.</w:t>
      </w:r>
    </w:p>
    <w:p w14:paraId="66E409BD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1. Target Claim and Scope</w:t>
      </w:r>
    </w:p>
    <w:p w14:paraId="6D785B82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2. Paper and Method Summary</w:t>
      </w:r>
    </w:p>
    <w:p w14:paraId="05478F90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3. Deviations from the Paper</w:t>
      </w:r>
    </w:p>
    <w:p w14:paraId="2F8D8E10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4. Reproduction Protocol</w:t>
      </w:r>
    </w:p>
    <w:p w14:paraId="30E3F453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5. Reproduction Results</w:t>
      </w:r>
    </w:p>
    <w:p w14:paraId="473E3A12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6. Discrepancy Diagnosis</w:t>
      </w:r>
    </w:p>
    <w:p w14:paraId="6D703AEC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7. Improvement Hypotheses</w:t>
      </w:r>
    </w:p>
    <w:p w14:paraId="52DF2916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8. Controlled Evaluation and Ablations</w:t>
      </w:r>
    </w:p>
    <w:p w14:paraId="13294647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9. Limitations</w:t>
      </w:r>
    </w:p>
    <w:p w14:paraId="7FA36141" w14:textId="3783D789" w:rsidR="00DA1017" w:rsidRPr="00DA1017" w:rsidRDefault="00DA1017" w:rsidP="00DA1017">
      <w:pPr>
        <w:jc w:val="both"/>
        <w:rPr>
          <w:b/>
          <w:bCs/>
        </w:rPr>
      </w:pPr>
      <w:r>
        <w:rPr>
          <w:rFonts w:hint="eastAsia"/>
          <w:b/>
          <w:bCs/>
        </w:rPr>
        <w:t>1</w:t>
      </w:r>
      <w:r w:rsidRPr="00DA1017">
        <w:rPr>
          <w:b/>
          <w:bCs/>
        </w:rPr>
        <w:t>0. Agent-Use Reflection</w:t>
      </w:r>
    </w:p>
    <w:p w14:paraId="25D1DAFC" w14:textId="77777777" w:rsidR="00DA1017" w:rsidRPr="00DA1017" w:rsidRDefault="00DA1017" w:rsidP="00DA1017">
      <w:pPr>
        <w:jc w:val="both"/>
        <w:rPr>
          <w:b/>
          <w:bCs/>
        </w:rPr>
      </w:pPr>
      <w:r w:rsidRPr="00DA1017">
        <w:rPr>
          <w:b/>
          <w:bCs/>
        </w:rPr>
        <w:t>11. References</w:t>
      </w:r>
    </w:p>
    <w:p w14:paraId="43F2DC62" w14:textId="5CC4D5FD" w:rsidR="00DA1017" w:rsidRPr="00DA1017" w:rsidRDefault="00DA1017" w:rsidP="00DA1017">
      <w:pPr>
        <w:numPr>
          <w:ilvl w:val="0"/>
          <w:numId w:val="1"/>
        </w:numPr>
        <w:tabs>
          <w:tab w:val="num" w:pos="720"/>
        </w:tabs>
        <w:jc w:val="both"/>
      </w:pPr>
      <w:r w:rsidRPr="00DA1017">
        <w:t>[TO FILL: STH-</w:t>
      </w:r>
      <w:proofErr w:type="spellStart"/>
      <w:r w:rsidRPr="00DA1017">
        <w:t>SepNet</w:t>
      </w:r>
      <w:proofErr w:type="spellEnd"/>
      <w:r w:rsidRPr="00DA1017">
        <w:t xml:space="preserve"> paper citation and primary-source link]. Official </w:t>
      </w:r>
      <w:proofErr w:type="gramStart"/>
      <w:r w:rsidRPr="00DA1017">
        <w:lastRenderedPageBreak/>
        <w:t>code</w:t>
      </w:r>
      <w:r>
        <w:rPr>
          <w:rFonts w:hint="eastAsia"/>
        </w:rPr>
        <w:t xml:space="preserve"> </w:t>
      </w:r>
      <w:r w:rsidRPr="00DA1017">
        <w:t>:</w:t>
      </w:r>
      <w:proofErr w:type="gramEnd"/>
      <w:r>
        <w:rPr>
          <w:rFonts w:hint="eastAsia"/>
        </w:rPr>
        <w:fldChar w:fldCharType="begin"/>
      </w:r>
      <w:r>
        <w:instrText>HYPERLINK "</w:instrText>
      </w:r>
      <w:r w:rsidRPr="00DA1017">
        <w:instrText>https://github.com/jiawenchen10/STHSepNet</w:instrText>
      </w:r>
      <w:r>
        <w:instrText>"</w:instrText>
      </w:r>
      <w:r>
        <w:rPr>
          <w:rFonts w:hint="eastAsia"/>
        </w:rPr>
        <w:fldChar w:fldCharType="separate"/>
      </w:r>
      <w:r w:rsidRPr="007743DA">
        <w:rPr>
          <w:rStyle w:val="ae"/>
        </w:rPr>
        <w:t>https://github.com/jiawenchen10/STHSepNet</w:t>
      </w:r>
      <w:r>
        <w:rPr>
          <w:rFonts w:hint="eastAsia"/>
        </w:rPr>
        <w:fldChar w:fldCharType="end"/>
      </w:r>
      <w:r w:rsidRPr="00DA1017">
        <w:t>.</w:t>
      </w:r>
    </w:p>
    <w:p w14:paraId="56FD6AF3" w14:textId="5EF542BF" w:rsidR="00DA1017" w:rsidRPr="00DA1017" w:rsidRDefault="00DA1017" w:rsidP="00DA1017">
      <w:pPr>
        <w:numPr>
          <w:ilvl w:val="0"/>
          <w:numId w:val="1"/>
        </w:numPr>
        <w:tabs>
          <w:tab w:val="num" w:pos="720"/>
        </w:tabs>
        <w:jc w:val="both"/>
      </w:pPr>
      <w:r w:rsidRPr="00DA1017">
        <w:t xml:space="preserve">Liu, Z., et al. “KAN: Kolmogorov–Arnold Networks.” arXiv:2404.19756, </w:t>
      </w:r>
      <w:proofErr w:type="gramStart"/>
      <w:r w:rsidRPr="00DA1017">
        <w:t>2024.[</w:t>
      </w:r>
      <w:proofErr w:type="gramEnd"/>
      <w:r w:rsidRPr="00DA1017">
        <w:t>TO VERIFY]</w:t>
      </w:r>
    </w:p>
    <w:p w14:paraId="52FCD3D4" w14:textId="77777777" w:rsidR="00DA1017" w:rsidRPr="00DA1017" w:rsidRDefault="00DA1017" w:rsidP="00DA1017">
      <w:pPr>
        <w:numPr>
          <w:ilvl w:val="0"/>
          <w:numId w:val="1"/>
        </w:numPr>
        <w:tabs>
          <w:tab w:val="num" w:pos="720"/>
        </w:tabs>
        <w:jc w:val="both"/>
      </w:pPr>
      <w:r w:rsidRPr="00DA1017">
        <w:t>Devlin, J., et al. “BERT: Pre-training of Deep Bidirectional Transformers for Language Understanding.” NAACL, 2019.</w:t>
      </w:r>
    </w:p>
    <w:p w14:paraId="0230300D" w14:textId="77777777" w:rsidR="00DA1017" w:rsidRPr="00DA1017" w:rsidRDefault="00DA1017" w:rsidP="00DA1017">
      <w:pPr>
        <w:jc w:val="both"/>
      </w:pPr>
    </w:p>
    <w:sectPr w:rsidR="00DA1017" w:rsidRPr="00DA10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361FD"/>
    <w:multiLevelType w:val="multilevel"/>
    <w:tmpl w:val="E1286B36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num w:numId="1" w16cid:durableId="921987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17"/>
    <w:rsid w:val="00A5340B"/>
    <w:rsid w:val="00DA1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4B2CB"/>
  <w15:chartTrackingRefBased/>
  <w15:docId w15:val="{7434EC6E-8C15-4892-8595-D3129826C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A10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A1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10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101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101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101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101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101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101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101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A10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A10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101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101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A101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10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10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10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101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1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10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10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1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10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10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101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10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101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A1017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A1017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A10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310</Words>
  <Characters>1899</Characters>
  <Application>Microsoft Office Word</Application>
  <DocSecurity>0</DocSecurity>
  <Lines>51</Lines>
  <Paragraphs>32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Drizzle Kuo</dc:creator>
  <cp:keywords/>
  <dc:description/>
  <cp:lastModifiedBy>Drizzle Kuo</cp:lastModifiedBy>
  <cp:revision>1</cp:revision>
  <dcterms:created xsi:type="dcterms:W3CDTF">2026-10-22T04:37:00Z</dcterms:created>
  <dcterms:modified xsi:type="dcterms:W3CDTF">2026-10-22T04:43:00Z</dcterms:modified>
</cp:coreProperties>
</file>