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4C79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预训练模型与微调。</w:t>
      </w:r>
      <w:r>
        <w:t xml:space="preserve"> 使用本地 BERT-base-uncased 的12层、768维预训练权重。作者部分脚本指定32层，超过该检查点的实际层数，因此本实现限制为12层，以保持预训练结构完整。论文描述通过 LoRA 微调前馈层，但公开代码在插入 LoRA 后冻结了全部语言模型参数。本实现解冻秩为4的 LoRA 参数，保留原始 BERT 参数冻结；不过适配范围覆盖全部线性层，比论文描述更广，会改变可训练参数范围。</w:t>
      </w:r>
    </w:p>
    <w:p w14:paraId="19DFF77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空间分支。</w:t>
      </w:r>
      <w:r>
        <w:t xml:space="preserve"> 本实现采用自适应图与 HyperGCN，超边尺度设为3。作者代码提供多种超图实现，部分脚本默认使用 HyperGAT；此处固定使用 HyperGCN，属于空间模块的配置选择。此外，将图与超图的混合系数由无约束参数改为 sigmoid 参数化，初值为0.5，以限制两分支的混合权重。这是模型实现调整，其独立效果尚未通过消融验证。</w:t>
      </w:r>
    </w:p>
    <w:p w14:paraId="705C65EB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训练预算。</w:t>
      </w:r>
      <w:r>
        <w:t xml:space="preserve"> 受单张 RTX 4070 Ti 显存限制，采用 BF16、微批量4和梯度累积。BIKE 的训练上限为50轮、学习率为 \(10^{-4}\)、有效批量为16、\(d_{ff}=32\)；其他数据集分别为30轮、\(3\times10^{-4}\)、32和128。根据验证集原单位 MSE 选择检查点，连续5轮未改善则早停。这些设置固定了本地计算预算，也可能影响模型收敛程度。</w:t>
      </w:r>
    </w:p>
    <w:p w14:paraId="40D77C0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数据与评估。</w:t>
      </w:r>
      <w:r>
        <w:t xml:space="preserve"> 保留原始数据、划分方式及48步输入和预测长度。为覆盖全部合法评估窗口，验证和测试不丢弃不足批量的末批数据，也不打乱顺序。时间戳统一转换为纳秒，仅用于解决时间单位兼容问题，不进行重采样。提示文本按实际数据修正，其中 BIKE 为小时数据，48步对应48小时。五个数据集均运行2021、2022、2023三个种子，报告均值与样本标准差；原论文未明确相同的重复实验与聚合协议，因此数值差距同时包含实现、训练和随机性因素。</w:t>
      </w:r>
    </w:p>
    <w:p w14:paraId="53583E79">
      <w:r>
        <w:br w:type="textWrapping"/>
      </w:r>
      <w:r>
        <w:br w:type="textWrapping"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B11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2026-10-27T07:31:31Z</dcterms:created>
  <dc:creator>lenovo</dc:creator>
  <cp:lastModifiedBy>Alex</cp:lastModifiedBy>
  <dcterms:modified xsi:type="dcterms:W3CDTF">2026-10-27T08:40:29Z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eyJoZGlkIjoiOTczYzk3NzRhNTliNGUxYjVlNDI0OTc0OTgwMzY3MzIiLCJ1c2VySWQiOiI3MDE3MDA3NDAifQ==</vt:lpwstr>
  </property>
  <property fmtid="{D5CDD505-2E9C-101B-9397-08002B2CF9AE}" pid="4" name="ICV">
    <vt:lpwstr>524D2B28F92C4F408B9BD4B281DFF04A_12</vt:lpwstr>
  </property>
</Properties>
</file>