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80F95">
      <w:pPr>
        <w:rPr>
          <w:rFonts w:ascii="Times New Roman" w:hAnsi="Times New Roman" w:cs="Times New Roman"/>
          <w:b/>
          <w:bCs/>
        </w:rPr>
      </w:pPr>
      <w:r>
        <w:rPr>
          <w:rFonts w:ascii="Times New Roman" w:hAnsi="Times New Roman" w:cs="Times New Roman"/>
          <w:b/>
          <w:bCs/>
        </w:rPr>
        <w:t>From Globally Static to Node- and Time-Adaptive Spatiotemporal Forecasting: Reproduction and Improvement of STH-SepNet</w:t>
      </w:r>
    </w:p>
    <w:p w14:paraId="24E50D9F">
      <w:pPr>
        <w:spacing w:after="0" w:line="240" w:lineRule="auto"/>
        <w:jc w:val="both"/>
        <w:rPr>
          <w:rFonts w:ascii="Times New Roman" w:hAnsi="Times New Roman" w:cs="Times New Roman"/>
          <w:b/>
          <w:bCs/>
        </w:rPr>
      </w:pPr>
      <w:r>
        <w:rPr>
          <w:rFonts w:ascii="Times New Roman" w:hAnsi="Times New Roman" w:cs="Times New Roman"/>
          <w:b/>
          <w:bCs/>
        </w:rPr>
        <w:t>Abstract</w:t>
      </w:r>
    </w:p>
    <w:p w14:paraId="0100F426">
      <w:pPr>
        <w:spacing w:after="0" w:line="240" w:lineRule="auto"/>
        <w:jc w:val="both"/>
        <w:rPr>
          <w:rFonts w:ascii="Times New Roman" w:hAnsi="Times New Roman" w:cs="Times New Roman"/>
        </w:rPr>
      </w:pPr>
      <w:r>
        <w:rPr>
          <w:rFonts w:ascii="Times New Roman" w:hAnsi="Times New Roman" w:cs="Times New Roman"/>
        </w:rPr>
        <w:t>This report reproduces and improves STH-SepNet, a spatiotemporal traffic forecasting model that combines a BERT-style temporal backbone with hypergraph-based spatial modeling. We identify three limitations in the original pipeline: (i) sequences from all road segments are averaged before BERT, which obscures node-specific intra-day and cross-day periodic patterns; (ii) the GCN–hypergraph fusion coefficient is fixed and cannot adapt to heterogeneous nodes and time steps; and (iii) the MLP prediction head uses fixed activations and may have limited capacity for the final nonlinear mapping. We formulate three corresponding improvement hypotheses: H1 multi-period memory at the representation stage, H2 node–time adaptive gating at the fusion stage, and H3 a KAN prediction head at the prediction stage. We pilot H1 on PEMS03 and H3 on BIKE-Inflow. H1 reduces MAE from 21.5005 to 17.9783 and RMSE from 32.8145 to 28.4649 on PEMS03, while H3 reduces MAE from 5.2570 ± 0.0302 to 5.1006 ± 0.0240 and RMSE from 14.1383 ± 0.0462 to 13.4306 ± 0.0908 on BIKE-Inflow over three seeds. Because H1 shows the larger relative pilot gain, it is selected for full evaluation across five datasets: BIKE-Inflow, BIKE-Outflow, PEMS03, BJ500, and METR-LA. H3 is retained as a controlled ablation. We report baseline reproduction, H1 full-evaluation results, discrepancy diagnosis, fairness controls, limitations, and agent-use provenance.</w:t>
      </w:r>
    </w:p>
    <w:p w14:paraId="66E409BD">
      <w:pPr>
        <w:pStyle w:val="35"/>
        <w:numPr>
          <w:ilvl w:val="0"/>
          <w:numId w:val="2"/>
        </w:numPr>
        <w:spacing w:after="0" w:line="240" w:lineRule="auto"/>
        <w:jc w:val="both"/>
        <w:rPr>
          <w:rFonts w:ascii="Times New Roman" w:hAnsi="Times New Roman" w:cs="Times New Roman"/>
          <w:b/>
          <w:bCs/>
        </w:rPr>
      </w:pPr>
      <w:r>
        <w:rPr>
          <w:rFonts w:ascii="Times New Roman" w:hAnsi="Times New Roman" w:cs="Times New Roman"/>
          <w:b/>
          <w:bCs/>
        </w:rPr>
        <w:t>Target Claim and Scope</w:t>
      </w:r>
    </w:p>
    <w:p w14:paraId="55F9D059">
      <w:pPr>
        <w:spacing w:after="0" w:line="240" w:lineRule="auto"/>
        <w:jc w:val="both"/>
        <w:rPr>
          <w:rFonts w:ascii="Times New Roman" w:hAnsi="Times New Roman" w:cs="Times New Roman"/>
        </w:rPr>
      </w:pPr>
      <w:r>
        <w:rPr>
          <w:rFonts w:ascii="Times New Roman" w:hAnsi="Times New Roman" w:cs="Times New Roman"/>
        </w:rPr>
        <w:t>The STH-SepNet decouples and integrates the lightweight LLM temporal branch and the adaptive hypergraph spatial branch, reporting leading accuracy on five traffic datasets. However, its overall process is still relatively global and static: in the representation stage, the average of all road segment sequences is taken before feeding into BERT, thereby masking the intraday dynamic and cross-day cycle patterns at the node level (L1); in the fusion stage, the fixed GCN-hypergraph fusion coefficient cannot adaptively balance the local adjacency and high-order group relationships with nodes and time steps (L2); in the prediction stage, the fixed activated MLP head has limited capacity for the complex nonlinear mapping from "fused representation → future traffic" (L3). To address these three separable bottlenecks, we propose a node-time adaptive framework: H1 constructs recent / intra-day / cross-day period tokens for each road segment in the representation stage, explicitly separating the cyclic history from the current cycle deviation; H2 introduces node-time adaptive gating in the fusion stage to dynamically balance the local information of GCN and the high-order information of the hypergraph; H3 replaces the MLP head with a learnable B-spline parameterized KAN head in the prediction stage, adaptively fitting the final nonlinear mapping. The three correspond sequentially to how long-term temporal information is retained, how spatial relationships are adaptively selected, and how the fused representation is mapped to the future state, jointly transforming the original model's global static process into a fully adaptive framework for heterogeneous road segments and dynamic traffic conditions.</w:t>
      </w:r>
    </w:p>
    <w:p w14:paraId="6D785B82">
      <w:pPr>
        <w:pStyle w:val="35"/>
        <w:numPr>
          <w:ilvl w:val="0"/>
          <w:numId w:val="2"/>
        </w:numPr>
        <w:spacing w:after="0"/>
        <w:jc w:val="both"/>
        <w:rPr>
          <w:rFonts w:ascii="Times New Roman" w:hAnsi="Times New Roman" w:cs="Times New Roman"/>
          <w:b/>
          <w:bCs/>
        </w:rPr>
      </w:pPr>
      <w:r>
        <w:rPr>
          <w:rFonts w:ascii="Times New Roman" w:hAnsi="Times New Roman" w:cs="Times New Roman"/>
          <w:b/>
          <w:bCs/>
        </w:rPr>
        <w:t>Paper and Method Summary</w:t>
      </w:r>
    </w:p>
    <w:p w14:paraId="19A26536">
      <w:pPr>
        <w:spacing w:after="0" w:line="240" w:lineRule="auto"/>
        <w:jc w:val="both"/>
        <w:rPr>
          <w:rFonts w:ascii="Times New Roman" w:hAnsi="Times New Roman" w:cs="Times New Roman"/>
        </w:rPr>
      </w:pPr>
      <w:r>
        <w:rPr>
          <w:rFonts w:ascii="Times New Roman" w:hAnsi="Times New Roman" w:cs="Times New Roman"/>
        </w:rPr>
        <w:t>2.1 Architecture relevant to this project</w:t>
      </w:r>
    </w:p>
    <w:p w14:paraId="65D2DEBE">
      <w:pPr>
        <w:spacing w:after="0" w:line="240" w:lineRule="auto"/>
        <w:jc w:val="both"/>
        <w:rPr>
          <w:rFonts w:ascii="Times New Roman" w:hAnsi="Times New Roman" w:cs="Times New Roman"/>
        </w:rPr>
      </w:pPr>
      <w:r>
        <w:rPr>
          <w:rFonts w:ascii="Times New Roman" w:hAnsi="Times New Roman" w:cs="Times New Roman"/>
        </w:rPr>
        <w:t>STH-SepNet consists of four functional components: 1) Temporal embedding and LLM branch. Input sequences are embedded and passed through a lightweight LLM. The paper’s low-rank temporal hypothesis motivates using compact models rather than full-scale LLMs. 2) Adaptive hypergraph spatial branch. Hyperedges are dynamically constructed from learned node representations and higher-order neighborhoods, allowing the model to represent spatial drift beyond a fixed adjacency matrix. 3) Gated fusion. A carefully designed gate fuses temporal and spatial representations. 4) Prediction head. A flatten-and-linear head maps the fused representation to the forecast horizon. In the official code, this head is FlattenHead.linear, an nn.Linear(192, 48) after flattening.</w:t>
      </w:r>
    </w:p>
    <w:p w14:paraId="41E4218D">
      <w:pPr>
        <w:pStyle w:val="35"/>
        <w:numPr>
          <w:ilvl w:val="1"/>
          <w:numId w:val="2"/>
        </w:numPr>
        <w:spacing w:after="0" w:line="240" w:lineRule="auto"/>
        <w:jc w:val="both"/>
        <w:rPr>
          <w:rFonts w:ascii="Times New Roman" w:hAnsi="Times New Roman" w:cs="Times New Roman"/>
          <w:color w:val="FF0000"/>
        </w:rPr>
      </w:pPr>
      <w:bookmarkStart w:id="0" w:name="OLE_LINK1"/>
      <w:r>
        <w:rPr>
          <w:rFonts w:ascii="Times New Roman" w:hAnsi="Times New Roman" w:cs="Times New Roman"/>
          <w:color w:val="FF0000"/>
        </w:rPr>
        <w:t>Baseline configuration used throughout this project</w:t>
      </w:r>
      <w:r>
        <w:rPr>
          <w:rFonts w:hint="eastAsia" w:ascii="Times New Roman" w:hAnsi="Times New Roman" w:cs="Times New Roman"/>
          <w:color w:val="FF0000"/>
          <w:lang w:val="en-US" w:eastAsia="zh-CN"/>
        </w:rPr>
        <w:t xml:space="preserve"> (jinqi)</w:t>
      </w:r>
    </w:p>
    <w:p w14:paraId="71C8B2E6">
      <w:pPr>
        <w:pStyle w:val="35"/>
        <w:numPr>
          <w:numId w:val="0"/>
        </w:numPr>
        <w:spacing w:after="0" w:line="240" w:lineRule="auto"/>
        <w:ind w:leftChars="0"/>
        <w:jc w:val="both"/>
        <w:rPr>
          <w:rFonts w:hint="eastAsia" w:ascii="Times New Roman" w:hAnsi="Times New Roman" w:cs="Times New Roman"/>
          <w:color w:val="FF0000"/>
          <w:lang w:val="en-US" w:eastAsia="zh-CN"/>
        </w:rPr>
      </w:pPr>
      <w:r>
        <w:rPr>
          <w:rFonts w:hint="eastAsia" w:ascii="Times New Roman" w:hAnsi="Times New Roman" w:cs="Times New Roman"/>
          <w:color w:val="FF0000"/>
          <w:lang w:val="en-US" w:eastAsia="zh-CN"/>
        </w:rPr>
        <w:t>这个地方的实验配置应该每个人都要写自己的吧，用的设备基本都不一样</w:t>
      </w:r>
    </w:p>
    <w:p w14:paraId="33240DEA">
      <w:pPr>
        <w:pStyle w:val="35"/>
        <w:numPr>
          <w:numId w:val="0"/>
        </w:numPr>
        <w:spacing w:after="0" w:line="240" w:lineRule="auto"/>
        <w:ind w:leftChars="0"/>
        <w:jc w:val="both"/>
        <w:rPr>
          <w:rFonts w:hint="default" w:ascii="Times New Roman" w:hAnsi="Times New Roman" w:cs="Times New Roman"/>
          <w:color w:val="FF0000"/>
          <w:lang w:val="en-US" w:eastAsia="zh-CN"/>
        </w:rPr>
      </w:pPr>
      <w:r>
        <w:rPr>
          <w:rFonts w:hint="eastAsia" w:ascii="Times New Roman" w:hAnsi="Times New Roman" w:cs="Times New Roman"/>
          <w:color w:val="FF0000"/>
          <w:lang w:val="en-US" w:eastAsia="zh-CN"/>
        </w:rPr>
        <w:t>要不要放到第四章？</w:t>
      </w:r>
    </w:p>
    <w:p w14:paraId="19AF29FD">
      <w:pPr>
        <w:pStyle w:val="35"/>
        <w:numPr>
          <w:numId w:val="0"/>
        </w:numPr>
        <w:spacing w:after="0" w:line="240" w:lineRule="auto"/>
        <w:ind w:leftChars="0"/>
        <w:jc w:val="both"/>
        <w:rPr>
          <w:rFonts w:hint="eastAsia" w:ascii="Times New Roman" w:hAnsi="Times New Roman" w:cs="Times New Roman"/>
          <w:color w:val="FF0000"/>
          <w:lang w:val="en-US" w:eastAsia="zh-CN"/>
        </w:rPr>
      </w:pPr>
    </w:p>
    <w:p w14:paraId="5D6D6A96">
      <w:pPr>
        <w:pStyle w:val="35"/>
        <w:numPr>
          <w:numId w:val="0"/>
        </w:numPr>
        <w:spacing w:after="0" w:line="240" w:lineRule="auto"/>
        <w:ind w:leftChars="0"/>
        <w:jc w:val="both"/>
        <w:rPr>
          <w:rFonts w:hint="default" w:ascii="Times New Roman" w:hAnsi="Times New Roman" w:cs="Times New Roman"/>
          <w:color w:val="FF0000"/>
          <w:lang w:val="en-US" w:eastAsia="zh-CN"/>
        </w:rPr>
      </w:pPr>
    </w:p>
    <w:tbl>
      <w:tblPr>
        <w:tblW w:w="4946"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0"/>
        <w:gridCol w:w="6066"/>
      </w:tblGrid>
      <w:tr w14:paraId="08B8E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1281"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5741CF91">
            <w:pPr>
              <w:keepNext w:val="0"/>
              <w:keepLines w:val="0"/>
              <w:widowControl/>
              <w:suppressLineNumbers w:val="0"/>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14:ligatures w14:val="standardContextual"/>
              </w:rPr>
              <w:t>Item</w:t>
            </w:r>
          </w:p>
        </w:tc>
        <w:tc>
          <w:tcPr>
            <w:tcW w:w="3664" w:type="pct"/>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585AECFD">
            <w:pPr>
              <w:keepNext w:val="0"/>
              <w:keepLines w:val="0"/>
              <w:widowControl/>
              <w:suppressLineNumbers w:val="0"/>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14:ligatures w14:val="standardContextual"/>
              </w:rPr>
              <w:t>Configuration</w:t>
            </w:r>
          </w:p>
        </w:tc>
      </w:tr>
      <w:tr w14:paraId="706AB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281"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6DC1A412">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14:ligatures w14:val="standardContextual"/>
              </w:rPr>
              <w:t>Temporal backbone</w:t>
            </w:r>
          </w:p>
        </w:tc>
        <w:tc>
          <w:tcPr>
            <w:tcW w:w="3664" w:type="pct"/>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52719F98">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14:ligatures w14:val="standardContextual"/>
              </w:rPr>
              <w:t>Local BERT-base-uncased; 12 layers; hidden dimension 768; rank-4 LoRA</w:t>
            </w:r>
          </w:p>
        </w:tc>
      </w:tr>
      <w:tr w14:paraId="11D65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81"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1D3A4D6D">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14:ligatures w14:val="standardContextual"/>
              </w:rPr>
              <w:t>Spatial branch</w:t>
            </w:r>
          </w:p>
        </w:tc>
        <w:tc>
          <w:tcPr>
            <w:tcW w:w="3664" w:type="pct"/>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719C4A66">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14:ligatures w14:val="standardContextual"/>
              </w:rPr>
              <w:t>Adaptive graph and HyperGCN; adaptive fusion gate; hyperedge scale 3; sigmoid-constrained graph–hypergraph mixing coefficient initialized to 0.5</w:t>
            </w:r>
          </w:p>
        </w:tc>
      </w:tr>
      <w:tr w14:paraId="4B560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81"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30E9C204">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14:ligatures w14:val="standardContextual"/>
              </w:rPr>
              <w:t>Input / output</w:t>
            </w:r>
          </w:p>
        </w:tc>
        <w:tc>
          <w:tcPr>
            <w:tcW w:w="3664" w:type="pct"/>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5A8338D6">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14:ligatures w14:val="standardContextual"/>
              </w:rPr>
              <w:t>48 input steps and 48 prediction steps</w:t>
            </w:r>
          </w:p>
        </w:tc>
      </w:tr>
      <w:tr w14:paraId="3FB85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281"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5213B90E">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14:ligatures w14:val="standardContextual"/>
              </w:rPr>
              <w:t>Training — BIKE</w:t>
            </w:r>
          </w:p>
        </w:tc>
        <w:tc>
          <w:tcPr>
            <w:tcW w:w="3664" w:type="pct"/>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1532A20E">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14:ligatures w14:val="standardContextual"/>
              </w:rPr>
              <w:t>Learning rate 10</w:t>
            </w:r>
            <w:r>
              <w:rPr>
                <w:rFonts w:ascii="宋体" w:hAnsi="宋体" w:eastAsia="宋体" w:cs="宋体"/>
                <w:kern w:val="0"/>
                <w:sz w:val="24"/>
                <w:szCs w:val="24"/>
                <w:vertAlign w:val="superscript"/>
                <w:lang w:val="en-US" w:eastAsia="zh-CN" w:bidi="ar"/>
                <w14:ligatures w14:val="standardContextual"/>
              </w:rPr>
              <w:t>-4</w:t>
            </w:r>
            <w:r>
              <w:rPr>
                <w:rFonts w:ascii="宋体" w:hAnsi="宋体" w:eastAsia="宋体" w:cs="宋体"/>
                <w:kern w:val="0"/>
                <w:sz w:val="24"/>
                <w:szCs w:val="24"/>
                <w:lang w:val="en-US" w:eastAsia="zh-CN" w:bidi="ar"/>
                <w14:ligatures w14:val="standardContextual"/>
              </w:rPr>
              <w:t>; effective batch size 16; d</w:t>
            </w:r>
            <w:r>
              <w:rPr>
                <w:rFonts w:hint="eastAsia" w:ascii="宋体" w:hAnsi="宋体" w:eastAsia="宋体" w:cs="宋体"/>
                <w:kern w:val="0"/>
                <w:sz w:val="24"/>
                <w:szCs w:val="24"/>
                <w:vertAlign w:val="subscript"/>
                <w:lang w:val="en-US" w:eastAsia="zh-CN" w:bidi="ar"/>
                <w14:ligatures w14:val="standardContextual"/>
              </w:rPr>
              <w:t>ff</w:t>
            </w:r>
            <w:r>
              <w:rPr>
                <w:rFonts w:ascii="宋体" w:hAnsi="宋体" w:eastAsia="宋体" w:cs="宋体"/>
                <w:kern w:val="0"/>
                <w:sz w:val="24"/>
                <w:szCs w:val="24"/>
                <w:lang w:val="en-US" w:eastAsia="zh-CN" w:bidi="ar"/>
                <w14:ligatures w14:val="standardContextual"/>
              </w:rPr>
              <w:t>=32; maximum 50 epochs</w:t>
            </w:r>
          </w:p>
        </w:tc>
      </w:tr>
      <w:tr w14:paraId="4D956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81"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5AFE4AAF">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14:ligatures w14:val="standardContextual"/>
              </w:rPr>
              <w:t>Training — PEMS03, BJ500, METR-LA</w:t>
            </w:r>
          </w:p>
        </w:tc>
        <w:tc>
          <w:tcPr>
            <w:tcW w:w="3664" w:type="pct"/>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7F69B1F5">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14:ligatures w14:val="standardContextual"/>
              </w:rPr>
              <w:t>Learning rate 3</w:t>
            </w:r>
            <w:r>
              <w:rPr>
                <w:rFonts w:hint="default" w:ascii="Arial" w:hAnsi="Arial" w:eastAsia="宋体" w:cs="Arial"/>
                <w:kern w:val="0"/>
                <w:sz w:val="24"/>
                <w:szCs w:val="24"/>
                <w:lang w:val="en-US" w:eastAsia="zh-CN" w:bidi="ar"/>
                <w14:ligatures w14:val="standardContextual"/>
              </w:rPr>
              <w:t>×</w:t>
            </w:r>
            <w:r>
              <w:rPr>
                <w:rFonts w:ascii="宋体" w:hAnsi="宋体" w:eastAsia="宋体" w:cs="宋体"/>
                <w:kern w:val="0"/>
                <w:sz w:val="24"/>
                <w:szCs w:val="24"/>
                <w:lang w:val="en-US" w:eastAsia="zh-CN" w:bidi="ar"/>
                <w14:ligatures w14:val="standardContextual"/>
              </w:rPr>
              <w:t>10</w:t>
            </w:r>
            <w:r>
              <w:rPr>
                <w:rFonts w:ascii="宋体" w:hAnsi="宋体" w:eastAsia="宋体" w:cs="宋体"/>
                <w:kern w:val="0"/>
                <w:sz w:val="24"/>
                <w:szCs w:val="24"/>
                <w:vertAlign w:val="superscript"/>
                <w:lang w:val="en-US" w:eastAsia="zh-CN" w:bidi="ar"/>
                <w14:ligatures w14:val="standardContextual"/>
              </w:rPr>
              <w:t>-4</w:t>
            </w:r>
            <w:r>
              <w:rPr>
                <w:rFonts w:ascii="宋体" w:hAnsi="宋体" w:eastAsia="宋体" w:cs="宋体"/>
                <w:kern w:val="0"/>
                <w:sz w:val="24"/>
                <w:szCs w:val="24"/>
                <w:lang w:val="en-US" w:eastAsia="zh-CN" w:bidi="ar"/>
                <w14:ligatures w14:val="standardContextual"/>
              </w:rPr>
              <w:t>; effective batch size 32; d</w:t>
            </w:r>
            <w:r>
              <w:rPr>
                <w:rFonts w:ascii="宋体" w:hAnsi="宋体" w:eastAsia="宋体" w:cs="宋体"/>
                <w:kern w:val="0"/>
                <w:sz w:val="24"/>
                <w:szCs w:val="24"/>
                <w:vertAlign w:val="subscript"/>
                <w:lang w:val="en-US" w:eastAsia="zh-CN" w:bidi="ar"/>
                <w14:ligatures w14:val="standardContextual"/>
              </w:rPr>
              <w:t>ff</w:t>
            </w:r>
            <w:r>
              <w:rPr>
                <w:rFonts w:hint="eastAsia" w:ascii="宋体" w:hAnsi="宋体" w:eastAsia="宋体" w:cs="宋体"/>
                <w:kern w:val="0"/>
                <w:sz w:val="24"/>
                <w:szCs w:val="24"/>
                <w:lang w:val="en-US" w:eastAsia="zh-CN" w:bidi="ar"/>
                <w14:ligatures w14:val="standardContextual"/>
              </w:rPr>
              <w:t>=</w:t>
            </w:r>
            <w:r>
              <w:rPr>
                <w:rFonts w:ascii="宋体" w:hAnsi="宋体" w:eastAsia="宋体" w:cs="宋体"/>
                <w:kern w:val="0"/>
                <w:sz w:val="24"/>
                <w:szCs w:val="24"/>
                <w:lang w:val="en-US" w:eastAsia="zh-CN" w:bidi="ar"/>
                <w14:ligatures w14:val="standardContextual"/>
              </w:rPr>
              <w:t>128; maximum 30 epochs</w:t>
            </w:r>
          </w:p>
        </w:tc>
      </w:tr>
      <w:tr w14:paraId="47379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281"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3F8A6621">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14:ligatures w14:val="standardContextual"/>
              </w:rPr>
              <w:t>Optimization</w:t>
            </w:r>
          </w:p>
        </w:tc>
        <w:tc>
          <w:tcPr>
            <w:tcW w:w="3664" w:type="pct"/>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196C8C19">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14:ligatures w14:val="standardContextual"/>
              </w:rPr>
              <w:t>Adam; micro-batch size 4 with gradient accumulation; early-stopping patience 5; checkpoint selected by validation MSE</w:t>
            </w:r>
          </w:p>
        </w:tc>
      </w:tr>
      <w:tr w14:paraId="4D047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281"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73E436D7">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14:ligatures w14:val="standardContextual"/>
              </w:rPr>
              <w:t>Hardware / precision</w:t>
            </w:r>
          </w:p>
        </w:tc>
        <w:tc>
          <w:tcPr>
            <w:tcW w:w="3664" w:type="pct"/>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725311A8">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14:ligatures w14:val="standardContextual"/>
              </w:rPr>
              <w:t>Single RTX 4070 Ti; BF16 mixed precision</w:t>
            </w:r>
          </w:p>
        </w:tc>
      </w:tr>
      <w:tr w14:paraId="6AB82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81" w:type="pct"/>
            <w:tcBorders>
              <w:top w:val="single" w:color="auto" w:sz="4" w:space="0"/>
              <w:left w:val="single" w:color="auto" w:sz="4" w:space="0"/>
              <w:bottom w:val="single" w:color="auto" w:sz="4" w:space="0"/>
              <w:right w:val="nil"/>
            </w:tcBorders>
            <w:shd w:val="clear"/>
            <w:noWrap w:val="0"/>
            <w:tcMar>
              <w:top w:w="-1" w:type="dxa"/>
              <w:left w:w="-1" w:type="dxa"/>
              <w:bottom w:w="-1" w:type="dxa"/>
              <w:right w:w="-1" w:type="dxa"/>
            </w:tcMar>
            <w:vAlign w:val="center"/>
          </w:tcPr>
          <w:p w14:paraId="30CEDB4A">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14:ligatures w14:val="standardContextual"/>
              </w:rPr>
              <w:t>Random seeds</w:t>
            </w:r>
          </w:p>
        </w:tc>
        <w:tc>
          <w:tcPr>
            <w:tcW w:w="3664" w:type="pct"/>
            <w:tcBorders>
              <w:top w:val="single" w:color="auto" w:sz="4" w:space="0"/>
              <w:left w:val="single" w:color="auto" w:sz="4" w:space="0"/>
              <w:bottom w:val="single" w:color="auto" w:sz="4" w:space="0"/>
              <w:right w:val="single" w:color="auto" w:sz="4" w:space="0"/>
            </w:tcBorders>
            <w:shd w:val="clear"/>
            <w:noWrap w:val="0"/>
            <w:tcMar>
              <w:top w:w="-1" w:type="dxa"/>
              <w:left w:w="-1" w:type="dxa"/>
              <w:bottom w:w="-1" w:type="dxa"/>
              <w:right w:w="-1" w:type="dxa"/>
            </w:tcMar>
            <w:vAlign w:val="center"/>
          </w:tcPr>
          <w:p w14:paraId="7D9C9865">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14:ligatures w14:val="standardContextual"/>
              </w:rPr>
              <w:t>2021, 2022, 2023</w:t>
            </w:r>
          </w:p>
        </w:tc>
      </w:tr>
    </w:tbl>
    <w:p w14:paraId="63B961BA">
      <w:pPr>
        <w:pStyle w:val="43"/>
        <w:widowControl w:val="0"/>
        <w:numPr>
          <w:numId w:val="0"/>
        </w:numPr>
        <w:spacing w:after="160" w:line="278" w:lineRule="auto"/>
        <w:rPr>
          <w:rFonts w:ascii="Times New Roman" w:hAnsi="Times New Roman" w:cs="Times New Roman"/>
        </w:rPr>
      </w:pPr>
    </w:p>
    <w:p w14:paraId="667F5E0E">
      <w:pPr>
        <w:pStyle w:val="35"/>
        <w:numPr>
          <w:numId w:val="0"/>
        </w:numPr>
        <w:spacing w:after="0" w:line="240" w:lineRule="auto"/>
        <w:ind w:leftChars="0"/>
        <w:jc w:val="both"/>
        <w:rPr>
          <w:rFonts w:ascii="Times New Roman" w:hAnsi="Times New Roman" w:cs="Times New Roman"/>
        </w:rPr>
      </w:pPr>
      <w:r>
        <w:rPr>
          <w:rFonts w:ascii="Times New Roman" w:hAnsi="Times New Roman" w:cs="Times New Roman"/>
        </w:rPr>
        <w:t>The baseline is the same corrected baseline shared by H1 and H3: environment adaptations—seed actually taking effect, Windows spawn protection, checkpoint-key prefix repair, dtype adaptation, and local path fixes—are common to all experiments and are not scientific variables.</w:t>
      </w:r>
    </w:p>
    <w:p w14:paraId="6DFBF6DA">
      <w:pPr>
        <w:pStyle w:val="35"/>
        <w:numPr>
          <w:numId w:val="0"/>
        </w:numPr>
        <w:spacing w:after="0" w:line="240" w:lineRule="auto"/>
        <w:ind w:leftChars="0"/>
        <w:jc w:val="both"/>
        <w:rPr>
          <w:rFonts w:ascii="Times New Roman" w:hAnsi="Times New Roman" w:cs="Times New Roman"/>
        </w:rPr>
      </w:pPr>
    </w:p>
    <w:p w14:paraId="4223F1C0">
      <w:pPr>
        <w:pStyle w:val="35"/>
        <w:numPr>
          <w:numId w:val="0"/>
        </w:numPr>
        <w:spacing w:after="0" w:line="240" w:lineRule="auto"/>
        <w:ind w:leftChars="0"/>
        <w:jc w:val="both"/>
        <w:rPr>
          <w:rFonts w:ascii="Times New Roman" w:hAnsi="Times New Roman" w:cs="Times New Roman"/>
          <w:color w:val="FF0000"/>
        </w:rPr>
      </w:pPr>
      <w:r>
        <w:rPr>
          <w:rFonts w:ascii="Times New Roman" w:hAnsi="Times New Roman" w:cs="Times New Roman"/>
        </w:rPr>
        <w:br w:type="textWrapping"/>
      </w:r>
    </w:p>
    <w:p w14:paraId="64F35869">
      <w:pPr>
        <w:pStyle w:val="43"/>
        <w:rPr>
          <w:rFonts w:ascii="Times New Roman" w:hAnsi="Times New Roman" w:cs="Times New Roman"/>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6174"/>
      </w:tblGrid>
      <w:tr w14:paraId="7960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1418223F">
            <w:pPr>
              <w:spacing w:after="0" w:line="240" w:lineRule="auto"/>
              <w:jc w:val="both"/>
              <w:rPr>
                <w:rFonts w:ascii="Times New Roman" w:hAnsi="Times New Roman" w:cs="Times New Roman"/>
              </w:rPr>
            </w:pPr>
            <w:r>
              <w:rPr>
                <w:rFonts w:ascii="Times New Roman" w:hAnsi="Times New Roman" w:cs="Times New Roman"/>
              </w:rPr>
              <w:t>Item</w:t>
            </w:r>
          </w:p>
        </w:tc>
        <w:tc>
          <w:tcPr>
            <w:tcW w:w="6174" w:type="dxa"/>
          </w:tcPr>
          <w:p w14:paraId="068D9AA9">
            <w:pPr>
              <w:spacing w:after="0" w:line="240" w:lineRule="auto"/>
              <w:jc w:val="both"/>
              <w:rPr>
                <w:rFonts w:ascii="Times New Roman" w:hAnsi="Times New Roman" w:cs="Times New Roman"/>
              </w:rPr>
            </w:pPr>
            <w:r>
              <w:rPr>
                <w:rFonts w:ascii="Times New Roman" w:hAnsi="Times New Roman" w:cs="Times New Roman"/>
              </w:rPr>
              <w:t>Configuration</w:t>
            </w:r>
          </w:p>
        </w:tc>
      </w:tr>
      <w:tr w14:paraId="20B01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5186F92A">
            <w:pPr>
              <w:spacing w:after="0" w:line="240" w:lineRule="auto"/>
              <w:jc w:val="both"/>
              <w:rPr>
                <w:rFonts w:ascii="Times New Roman" w:hAnsi="Times New Roman" w:cs="Times New Roman"/>
              </w:rPr>
            </w:pPr>
            <w:r>
              <w:rPr>
                <w:rFonts w:ascii="Times New Roman" w:hAnsi="Times New Roman" w:cs="Times New Roman"/>
              </w:rPr>
              <w:t>Temporal backbone</w:t>
            </w:r>
          </w:p>
        </w:tc>
        <w:tc>
          <w:tcPr>
            <w:tcW w:w="6174" w:type="dxa"/>
          </w:tcPr>
          <w:p w14:paraId="6B758226">
            <w:pPr>
              <w:spacing w:after="0" w:line="240" w:lineRule="auto"/>
              <w:jc w:val="both"/>
              <w:rPr>
                <w:rFonts w:ascii="Times New Roman" w:hAnsi="Times New Roman" w:cs="Times New Roman"/>
              </w:rPr>
            </w:pPr>
            <w:r>
              <w:rPr>
                <w:rFonts w:ascii="Times New Roman" w:hAnsi="Times New Roman" w:cs="Times New Roman"/>
              </w:rPr>
              <w:t>BERT-base, llm_layers=6, local huggingface/google_bert/</w:t>
            </w:r>
          </w:p>
        </w:tc>
      </w:tr>
      <w:tr w14:paraId="08F9E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74E48152">
            <w:pPr>
              <w:spacing w:after="0" w:line="240" w:lineRule="auto"/>
              <w:jc w:val="both"/>
              <w:rPr>
                <w:rFonts w:ascii="Times New Roman" w:hAnsi="Times New Roman" w:cs="Times New Roman"/>
              </w:rPr>
            </w:pPr>
            <w:r>
              <w:rPr>
                <w:rFonts w:ascii="Times New Roman" w:hAnsi="Times New Roman" w:cs="Times New Roman"/>
              </w:rPr>
              <w:t>Spatial branch</w:t>
            </w:r>
          </w:p>
        </w:tc>
        <w:tc>
          <w:tcPr>
            <w:tcW w:w="6174" w:type="dxa"/>
          </w:tcPr>
          <w:p w14:paraId="403B3DE1">
            <w:pPr>
              <w:spacing w:after="0" w:line="240" w:lineRule="auto"/>
              <w:jc w:val="both"/>
              <w:rPr>
                <w:rFonts w:ascii="Times New Roman" w:hAnsi="Times New Roman" w:cs="Times New Roman"/>
              </w:rPr>
            </w:pPr>
            <w:r>
              <w:rPr>
                <w:rFonts w:ascii="Times New Roman" w:hAnsi="Times New Roman" w:cs="Times New Roman"/>
              </w:rPr>
              <w:t>Adaptive hypergraph, --fusion_gate adaptive, --scale_hyperedges 3</w:t>
            </w:r>
          </w:p>
        </w:tc>
      </w:tr>
      <w:tr w14:paraId="64A85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19235377">
            <w:pPr>
              <w:spacing w:after="0" w:line="240" w:lineRule="auto"/>
              <w:jc w:val="both"/>
              <w:rPr>
                <w:rFonts w:ascii="Times New Roman" w:hAnsi="Times New Roman" w:cs="Times New Roman"/>
              </w:rPr>
            </w:pPr>
            <w:r>
              <w:rPr>
                <w:rFonts w:ascii="Times New Roman" w:hAnsi="Times New Roman" w:cs="Times New Roman"/>
              </w:rPr>
              <w:t>Input / output</w:t>
            </w:r>
          </w:p>
        </w:tc>
        <w:tc>
          <w:tcPr>
            <w:tcW w:w="6174" w:type="dxa"/>
          </w:tcPr>
          <w:p w14:paraId="368FE4B0">
            <w:pPr>
              <w:spacing w:after="0" w:line="240" w:lineRule="auto"/>
              <w:jc w:val="both"/>
              <w:rPr>
                <w:rFonts w:ascii="Times New Roman" w:hAnsi="Times New Roman" w:cs="Times New Roman"/>
              </w:rPr>
            </w:pPr>
            <w:r>
              <w:rPr>
                <w:rFonts w:ascii="Times New Roman" w:hAnsi="Times New Roman" w:cs="Times New Roman"/>
              </w:rPr>
              <w:t>seq_len=48, label_len=48, pred_len=48</w:t>
            </w:r>
          </w:p>
        </w:tc>
      </w:tr>
      <w:tr w14:paraId="3058E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185A4743">
            <w:pPr>
              <w:spacing w:after="0" w:line="240" w:lineRule="auto"/>
              <w:jc w:val="both"/>
              <w:rPr>
                <w:rFonts w:ascii="Times New Roman" w:hAnsi="Times New Roman" w:cs="Times New Roman"/>
              </w:rPr>
            </w:pPr>
            <w:r>
              <w:rPr>
                <w:rFonts w:ascii="Times New Roman" w:hAnsi="Times New Roman" w:cs="Times New Roman"/>
              </w:rPr>
              <w:t>Training</w:t>
            </w:r>
          </w:p>
        </w:tc>
        <w:tc>
          <w:tcPr>
            <w:tcW w:w="6174" w:type="dxa"/>
          </w:tcPr>
          <w:p w14:paraId="5D03F17C">
            <w:pPr>
              <w:spacing w:after="0" w:line="240" w:lineRule="auto"/>
              <w:jc w:val="both"/>
              <w:rPr>
                <w:rFonts w:ascii="Times New Roman" w:hAnsi="Times New Roman" w:cs="Times New Roman"/>
              </w:rPr>
            </w:pPr>
            <w:r>
              <w:rPr>
                <w:rFonts w:ascii="Times New Roman" w:hAnsi="Times New Roman" w:cs="Times New Roman"/>
              </w:rPr>
              <w:t>lr=1e-4, batch=16, d_model=768, d_ff=32, gamma=1.0, 50 epochs, patience=10</w:t>
            </w:r>
          </w:p>
        </w:tc>
      </w:tr>
      <w:tr w14:paraId="29D7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61ADE0B6">
            <w:pPr>
              <w:spacing w:after="0" w:line="240" w:lineRule="auto"/>
              <w:jc w:val="both"/>
              <w:rPr>
                <w:rFonts w:ascii="Times New Roman" w:hAnsi="Times New Roman" w:cs="Times New Roman"/>
              </w:rPr>
            </w:pPr>
            <w:r>
              <w:rPr>
                <w:rFonts w:ascii="Times New Roman" w:hAnsi="Times New Roman" w:cs="Times New Roman"/>
              </w:rPr>
              <w:t>Hardware</w:t>
            </w:r>
          </w:p>
        </w:tc>
        <w:tc>
          <w:tcPr>
            <w:tcW w:w="6174" w:type="dxa"/>
          </w:tcPr>
          <w:p w14:paraId="01C4A926">
            <w:pPr>
              <w:spacing w:after="0" w:line="240" w:lineRule="auto"/>
              <w:jc w:val="both"/>
              <w:rPr>
                <w:rFonts w:ascii="Times New Roman" w:hAnsi="Times New Roman" w:cs="Times New Roman"/>
              </w:rPr>
            </w:pPr>
            <w:r>
              <w:rPr>
                <w:rFonts w:ascii="Times New Roman" w:hAnsi="Times New Roman" w:cs="Times New Roman"/>
              </w:rPr>
              <w:t>RTX 4070 Laptop 8GB in FP32</w:t>
            </w:r>
          </w:p>
        </w:tc>
      </w:tr>
    </w:tbl>
    <w:p w14:paraId="6601DEC4">
      <w:pPr>
        <w:spacing w:after="0" w:line="240" w:lineRule="auto"/>
        <w:jc w:val="both"/>
        <w:rPr>
          <w:rFonts w:ascii="Times New Roman" w:hAnsi="Times New Roman" w:cs="Times New Roman"/>
        </w:rPr>
      </w:pPr>
      <w:r>
        <w:rPr>
          <w:rFonts w:ascii="Times New Roman" w:hAnsi="Times New Roman" w:cs="Times New Roman"/>
        </w:rPr>
        <w:t>The baseline is the same corrected baseline shared by H1 and H3: environment adaptations—seed actually taking effect, Windows spawn protection, checkpoint-key prefix repair, dtype adaptation, and local path fixes—are common to all experiments and are not scientific variables.</w:t>
      </w:r>
    </w:p>
    <w:p w14:paraId="4B5A1946">
      <w:pPr>
        <w:spacing w:after="0" w:line="240" w:lineRule="auto"/>
        <w:jc w:val="both"/>
        <w:rPr>
          <w:rFonts w:ascii="Times New Roman" w:hAnsi="Times New Roman" w:cs="Times New Roman"/>
        </w:rPr>
      </w:pPr>
    </w:p>
    <w:p w14:paraId="05478F90">
      <w:pPr>
        <w:numPr>
          <w:ilvl w:val="0"/>
          <w:numId w:val="2"/>
        </w:numPr>
        <w:spacing w:after="0" w:line="240" w:lineRule="auto"/>
        <w:ind w:left="360" w:leftChars="0" w:hanging="360" w:firstLineChars="0"/>
        <w:jc w:val="both"/>
        <w:rPr>
          <w:rFonts w:ascii="Times New Roman" w:hAnsi="Times New Roman" w:cs="Times New Roman"/>
          <w:b/>
          <w:bCs/>
          <w:color w:val="FF0000"/>
          <w:highlight w:val="none"/>
        </w:rPr>
      </w:pPr>
      <w:r>
        <w:rPr>
          <w:rFonts w:ascii="Times New Roman" w:hAnsi="Times New Roman" w:cs="Times New Roman"/>
          <w:b/>
          <w:bCs/>
          <w:color w:val="FF0000"/>
          <w:highlight w:val="none"/>
        </w:rPr>
        <w:t>Deviations from the Paper</w:t>
      </w:r>
      <w:r>
        <w:rPr>
          <w:rFonts w:hint="eastAsia" w:ascii="Times New Roman" w:hAnsi="Times New Roman" w:cs="Times New Roman"/>
          <w:b/>
          <w:bCs/>
          <w:color w:val="FF0000"/>
          <w:highlight w:val="none"/>
          <w:lang w:val="en-US" w:eastAsia="zh-CN"/>
        </w:rPr>
        <w:t xml:space="preserve"> (jinqi)</w:t>
      </w:r>
    </w:p>
    <w:p w14:paraId="707D3F80">
      <w:pPr>
        <w:numPr>
          <w:numId w:val="0"/>
        </w:numPr>
        <w:spacing w:after="0" w:line="240" w:lineRule="auto"/>
        <w:ind w:leftChars="0"/>
        <w:jc w:val="both"/>
        <w:rPr>
          <w:rFonts w:hint="eastAsia" w:ascii="Times New Roman" w:hAnsi="Times New Roman" w:cs="Times New Roman"/>
          <w:b w:val="0"/>
          <w:bCs w:val="0"/>
          <w:highlight w:val="none"/>
        </w:rPr>
      </w:pPr>
      <w:r>
        <w:rPr>
          <w:rFonts w:hint="eastAsia" w:ascii="Times New Roman" w:hAnsi="Times New Roman" w:cs="Times New Roman"/>
          <w:b w:val="0"/>
          <w:bCs w:val="0"/>
          <w:highlight w:val="none"/>
        </w:rPr>
        <w:t>This reproduction retains the overall STH-SepNet architecture, with the following differences.</w:t>
      </w:r>
    </w:p>
    <w:p w14:paraId="73B1D90B">
      <w:pPr>
        <w:numPr>
          <w:numId w:val="0"/>
        </w:numPr>
        <w:spacing w:after="0" w:line="240" w:lineRule="auto"/>
        <w:ind w:leftChars="0"/>
        <w:jc w:val="both"/>
        <w:rPr>
          <w:rFonts w:hint="eastAsia" w:ascii="Times New Roman" w:hAnsi="Times New Roman" w:cs="Times New Roman"/>
          <w:b w:val="0"/>
          <w:bCs w:val="0"/>
          <w:highlight w:val="none"/>
        </w:rPr>
      </w:pPr>
    </w:p>
    <w:p w14:paraId="6AB2E37B">
      <w:pPr>
        <w:numPr>
          <w:numId w:val="0"/>
        </w:numPr>
        <w:spacing w:after="0" w:line="240" w:lineRule="auto"/>
        <w:ind w:leftChars="0"/>
        <w:jc w:val="both"/>
        <w:rPr>
          <w:rFonts w:hint="eastAsia" w:ascii="Times New Roman" w:hAnsi="Times New Roman" w:cs="Times New Roman"/>
          <w:b w:val="0"/>
          <w:bCs w:val="0"/>
          <w:highlight w:val="none"/>
        </w:rPr>
      </w:pPr>
      <w:r>
        <w:rPr>
          <w:rFonts w:hint="eastAsia" w:ascii="Times New Roman" w:hAnsi="Times New Roman" w:cs="Times New Roman"/>
          <w:b/>
          <w:bCs/>
          <w:highlight w:val="none"/>
        </w:rPr>
        <w:t>Pretrained model and fine-tuning</w:t>
      </w:r>
      <w:r>
        <w:rPr>
          <w:rFonts w:hint="eastAsia" w:ascii="Times New Roman" w:hAnsi="Times New Roman" w:cs="Times New Roman"/>
          <w:b/>
          <w:bCs/>
          <w:highlight w:val="none"/>
          <w:lang w:val="en-US" w:eastAsia="zh-CN"/>
        </w:rPr>
        <w:t xml:space="preserve">: </w:t>
      </w:r>
      <w:r>
        <w:rPr>
          <w:rFonts w:hint="eastAsia" w:ascii="Times New Roman" w:hAnsi="Times New Roman" w:cs="Times New Roman"/>
          <w:b w:val="0"/>
          <w:bCs w:val="0"/>
          <w:highlight w:val="none"/>
        </w:rPr>
        <w:t>We use BERT-base-uncased with 12 pretrained layers and a hidden dimension of 768. Some author-provided scripts specify 32 layers, exceeding the checkpoint’s actual depth; we therefore retain 12 layers to preserve the pretrained architecture. The paper describes LoRA fine-tuning of feed-forward layers, whereas the released code freezes the entire language model after inserting LoRA. Our implementation trains rank-4 LoRA parameters while freezing the original BERT weights. However, LoRA covers all linear layers, extending beyond the feed-forward layers described in the paper.</w:t>
      </w:r>
    </w:p>
    <w:p w14:paraId="5690C2A5">
      <w:pPr>
        <w:numPr>
          <w:numId w:val="0"/>
        </w:numPr>
        <w:spacing w:after="0" w:line="240" w:lineRule="auto"/>
        <w:ind w:leftChars="0"/>
        <w:jc w:val="both"/>
        <w:rPr>
          <w:rFonts w:hint="eastAsia" w:ascii="Times New Roman" w:hAnsi="Times New Roman" w:cs="Times New Roman"/>
          <w:b w:val="0"/>
          <w:bCs w:val="0"/>
          <w:highlight w:val="none"/>
        </w:rPr>
      </w:pPr>
    </w:p>
    <w:p w14:paraId="1313EE1E">
      <w:pPr>
        <w:numPr>
          <w:numId w:val="0"/>
        </w:numPr>
        <w:spacing w:after="0" w:line="240" w:lineRule="auto"/>
        <w:ind w:leftChars="0"/>
        <w:jc w:val="both"/>
        <w:rPr>
          <w:rFonts w:hint="eastAsia" w:ascii="Times New Roman" w:hAnsi="Times New Roman" w:cs="Times New Roman"/>
          <w:b w:val="0"/>
          <w:bCs w:val="0"/>
          <w:highlight w:val="none"/>
        </w:rPr>
      </w:pPr>
      <w:r>
        <w:rPr>
          <w:rFonts w:hint="eastAsia" w:ascii="Times New Roman" w:hAnsi="Times New Roman" w:cs="Times New Roman"/>
          <w:b/>
          <w:bCs/>
          <w:highlight w:val="none"/>
        </w:rPr>
        <w:t>Spatial branches</w:t>
      </w:r>
      <w:r>
        <w:rPr>
          <w:rFonts w:hint="eastAsia" w:ascii="Times New Roman" w:hAnsi="Times New Roman" w:cs="Times New Roman"/>
          <w:b/>
          <w:bCs/>
          <w:highlight w:val="none"/>
          <w:lang w:val="en-US" w:eastAsia="zh-CN"/>
        </w:rPr>
        <w:t>:</w:t>
      </w:r>
      <w:r>
        <w:rPr>
          <w:rFonts w:hint="eastAsia" w:ascii="Times New Roman" w:hAnsi="Times New Roman" w:cs="Times New Roman"/>
          <w:b w:val="0"/>
          <w:bCs w:val="0"/>
          <w:highlight w:val="none"/>
        </w:rPr>
        <w:t xml:space="preserve"> We use an adaptive graph and HyperGCN with a hyperedge scale of 3. The released code supports multiple hypergraph implementations, and some scripts default to HyperGAT; selecting HyperGCN is therefore a spatial-module configuration choice. We also replace the unconstrained graph–hypergraph mixing coefficient with a sigmoid-parameterized coefficient initialized to 0.5, keeping the mixing weights bounded. This changes model behavior, and its individual effect has not been evaluated through ablation.</w:t>
      </w:r>
    </w:p>
    <w:p w14:paraId="6C0DD072">
      <w:pPr>
        <w:numPr>
          <w:numId w:val="0"/>
        </w:numPr>
        <w:spacing w:after="0" w:line="240" w:lineRule="auto"/>
        <w:ind w:leftChars="0"/>
        <w:jc w:val="both"/>
        <w:rPr>
          <w:rFonts w:hint="eastAsia" w:ascii="Times New Roman" w:hAnsi="Times New Roman" w:cs="Times New Roman"/>
          <w:b w:val="0"/>
          <w:bCs w:val="0"/>
          <w:highlight w:val="none"/>
        </w:rPr>
      </w:pPr>
    </w:p>
    <w:p w14:paraId="5C6B9F4C">
      <w:pPr>
        <w:numPr>
          <w:numId w:val="0"/>
        </w:numPr>
        <w:spacing w:after="0" w:line="240" w:lineRule="auto"/>
        <w:ind w:leftChars="0"/>
        <w:jc w:val="both"/>
        <w:rPr>
          <w:rFonts w:hint="eastAsia" w:ascii="Times New Roman" w:hAnsi="Times New Roman" w:cs="Times New Roman"/>
          <w:b w:val="0"/>
          <w:bCs w:val="0"/>
          <w:highlight w:val="none"/>
        </w:rPr>
      </w:pPr>
      <w:r>
        <w:rPr>
          <w:rFonts w:hint="eastAsia" w:ascii="Times New Roman" w:hAnsi="Times New Roman" w:cs="Times New Roman"/>
          <w:b/>
          <w:bCs/>
          <w:highlight w:val="none"/>
        </w:rPr>
        <w:t>Training budget</w:t>
      </w:r>
      <w:r>
        <w:rPr>
          <w:rFonts w:hint="eastAsia" w:ascii="Times New Roman" w:hAnsi="Times New Roman" w:cs="Times New Roman"/>
          <w:b/>
          <w:bCs/>
          <w:highlight w:val="none"/>
          <w:lang w:val="en-US" w:eastAsia="zh-CN"/>
        </w:rPr>
        <w:t xml:space="preserve">: </w:t>
      </w:r>
      <w:r>
        <w:rPr>
          <w:rFonts w:hint="eastAsia" w:ascii="Times New Roman" w:hAnsi="Times New Roman" w:cs="Times New Roman"/>
          <w:b w:val="0"/>
          <w:bCs w:val="0"/>
          <w:highlight w:val="none"/>
        </w:rPr>
        <w:t>To accommodate the memory capacity of a single RTX 4070 Ti, we use BF16, a micro-batch size of 4, and gradient accumulation. For BIKE, the maximum epoch count, learning rate, effective batch size, and d</w:t>
      </w:r>
      <w:r>
        <w:rPr>
          <w:rFonts w:hint="eastAsia" w:ascii="Times New Roman" w:hAnsi="Times New Roman" w:cs="Times New Roman"/>
          <w:b w:val="0"/>
          <w:bCs w:val="0"/>
          <w:highlight w:val="none"/>
          <w:vertAlign w:val="subscript"/>
        </w:rPr>
        <w:t>ff</w:t>
      </w:r>
      <w:r>
        <w:rPr>
          <w:rFonts w:hint="eastAsia" w:ascii="Times New Roman" w:hAnsi="Times New Roman" w:cs="Times New Roman"/>
          <w:b w:val="0"/>
          <w:bCs w:val="0"/>
          <w:highlight w:val="none"/>
        </w:rPr>
        <w:t xml:space="preserve"> are 50, 10</w:t>
      </w:r>
      <w:r>
        <w:rPr>
          <w:rFonts w:hint="eastAsia" w:ascii="Times New Roman" w:hAnsi="Times New Roman" w:cs="Times New Roman"/>
          <w:b w:val="0"/>
          <w:bCs w:val="0"/>
          <w:highlight w:val="none"/>
          <w:vertAlign w:val="superscript"/>
        </w:rPr>
        <w:t>-4</w:t>
      </w:r>
      <w:r>
        <w:rPr>
          <w:rFonts w:hint="eastAsia" w:ascii="Times New Roman" w:hAnsi="Times New Roman" w:cs="Times New Roman"/>
          <w:b w:val="0"/>
          <w:bCs w:val="0"/>
          <w:highlight w:val="none"/>
        </w:rPr>
        <w:t>, 16, and 32, respectively. For the other datasets, they are 30, 3</w:t>
      </w:r>
      <w:r>
        <w:rPr>
          <w:rFonts w:hint="default" w:ascii="Arial" w:hAnsi="Arial" w:cs="Arial"/>
          <w:b w:val="0"/>
          <w:bCs w:val="0"/>
          <w:highlight w:val="none"/>
        </w:rPr>
        <w:t>×</w:t>
      </w:r>
      <w:r>
        <w:rPr>
          <w:rFonts w:hint="eastAsia" w:ascii="Times New Roman" w:hAnsi="Times New Roman" w:cs="Times New Roman"/>
          <w:b w:val="0"/>
          <w:bCs w:val="0"/>
          <w:highlight w:val="none"/>
        </w:rPr>
        <w:t>10</w:t>
      </w:r>
      <w:r>
        <w:rPr>
          <w:rFonts w:hint="eastAsia" w:ascii="Times New Roman" w:hAnsi="Times New Roman" w:cs="Times New Roman"/>
          <w:b w:val="0"/>
          <w:bCs w:val="0"/>
          <w:highlight w:val="none"/>
          <w:vertAlign w:val="superscript"/>
        </w:rPr>
        <w:t>-4</w:t>
      </w:r>
      <w:r>
        <w:rPr>
          <w:rFonts w:hint="eastAsia" w:ascii="Times New Roman" w:hAnsi="Times New Roman" w:cs="Times New Roman"/>
          <w:b w:val="0"/>
          <w:bCs w:val="0"/>
          <w:highlight w:val="none"/>
        </w:rPr>
        <w:t>, 32, and 128. Checkpoints are selected using validation MSE in original units, with early stopping after five epochs without improvement. These settings define the local computational budget and may affect convergence.</w:t>
      </w:r>
    </w:p>
    <w:p w14:paraId="65E5640F">
      <w:pPr>
        <w:numPr>
          <w:numId w:val="0"/>
        </w:numPr>
        <w:spacing w:after="0" w:line="240" w:lineRule="auto"/>
        <w:ind w:leftChars="0"/>
        <w:jc w:val="both"/>
        <w:rPr>
          <w:rFonts w:hint="eastAsia" w:ascii="Times New Roman" w:hAnsi="Times New Roman" w:cs="Times New Roman"/>
          <w:b w:val="0"/>
          <w:bCs w:val="0"/>
          <w:highlight w:val="none"/>
        </w:rPr>
      </w:pPr>
    </w:p>
    <w:p w14:paraId="2A2D417A">
      <w:pPr>
        <w:numPr>
          <w:numId w:val="0"/>
        </w:numPr>
        <w:spacing w:after="0" w:line="240" w:lineRule="auto"/>
        <w:ind w:leftChars="0"/>
        <w:jc w:val="both"/>
        <w:rPr>
          <w:rFonts w:ascii="Times New Roman" w:hAnsi="Times New Roman" w:cs="Times New Roman"/>
          <w:b w:val="0"/>
          <w:bCs w:val="0"/>
          <w:highlight w:val="none"/>
        </w:rPr>
      </w:pPr>
      <w:r>
        <w:rPr>
          <w:rFonts w:hint="eastAsia" w:ascii="Times New Roman" w:hAnsi="Times New Roman" w:cs="Times New Roman"/>
          <w:b/>
          <w:bCs/>
          <w:highlight w:val="none"/>
        </w:rPr>
        <w:t>Data and evaluation</w:t>
      </w:r>
      <w:r>
        <w:rPr>
          <w:rFonts w:hint="eastAsia" w:ascii="Times New Roman" w:hAnsi="Times New Roman" w:cs="Times New Roman"/>
          <w:b/>
          <w:bCs/>
          <w:highlight w:val="none"/>
          <w:lang w:val="en-US" w:eastAsia="zh-CN"/>
        </w:rPr>
        <w:t xml:space="preserve">: </w:t>
      </w:r>
      <w:r>
        <w:rPr>
          <w:rFonts w:hint="eastAsia" w:ascii="Times New Roman" w:hAnsi="Times New Roman" w:cs="Times New Roman"/>
          <w:b w:val="0"/>
          <w:bCs w:val="0"/>
          <w:highlight w:val="none"/>
        </w:rPr>
        <w:t>We retain the original data, splitting procedure, and 48-step input and prediction lengths. Validation and test loaders retain incomplete final batches and disable shuffling to evaluate all valid windows. Timestamps are explicitly converted to nanoseconds for compatibility checks, without resampling. Prompts reflect each dataset’s actual characteristics: BIKE is hourly, so 48 steps represent 48 hours. We run all five datasets with seeds 2021, 2022, and 2023 and report means and sample standard deviations. Because the paper does not specify the same repetition and aggregation protocol, numerical differences may reflect implementation choices, training settings, and randomness.</w:t>
      </w:r>
      <w:r>
        <w:rPr>
          <w:rFonts w:hint="eastAsia" w:ascii="Times New Roman" w:hAnsi="Times New Roman" w:cs="Times New Roman"/>
          <w:b w:val="0"/>
          <w:bCs w:val="0"/>
          <w:highlight w:val="none"/>
        </w:rPr>
        <w:br w:type="textWrapping"/>
      </w:r>
    </w:p>
    <w:bookmarkEnd w:id="0"/>
    <w:p w14:paraId="3E9732DE">
      <w:pPr>
        <w:spacing w:after="0" w:line="240" w:lineRule="auto"/>
        <w:jc w:val="both"/>
        <w:rPr>
          <w:rFonts w:ascii="Times New Roman" w:hAnsi="Times New Roman" w:cs="Times New Roman"/>
          <w:b/>
          <w:bCs/>
        </w:rPr>
      </w:pPr>
      <w:r>
        <w:rPr>
          <w:rFonts w:ascii="Times New Roman" w:hAnsi="Times New Roman" w:cs="Times New Roman"/>
          <w:b/>
          <w:bCs/>
        </w:rPr>
        <w:t>4. Reproduction Protocol</w:t>
      </w:r>
    </w:p>
    <w:p w14:paraId="498750CE">
      <w:pPr>
        <w:spacing w:after="0" w:line="240" w:lineRule="auto"/>
        <w:jc w:val="both"/>
        <w:rPr>
          <w:rFonts w:hint="default" w:ascii="Times New Roman" w:hAnsi="Times New Roman" w:cs="Times New Roman"/>
        </w:rPr>
      </w:pPr>
      <w:r>
        <w:rPr>
          <w:rFonts w:ascii="Times New Roman" w:hAnsi="Times New Roman" w:cs="Times New Roman"/>
        </w:rPr>
        <w:t>4.1 Data and splits</w:t>
      </w:r>
    </w:p>
    <w:p w14:paraId="5B769802">
      <w:pPr>
        <w:pStyle w:val="43"/>
        <w:rPr>
          <w:rFonts w:ascii="Times New Roman" w:hAnsi="Times New Roman" w:cs="Times New Roman"/>
          <w:sz w:val="22"/>
          <w:szCs w:val="22"/>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4110"/>
        <w:gridCol w:w="2631"/>
      </w:tblGrid>
      <w:tr w14:paraId="1DC65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3691739D">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Dataset</w:t>
            </w:r>
          </w:p>
        </w:tc>
        <w:tc>
          <w:tcPr>
            <w:tcW w:w="4110" w:type="dxa"/>
          </w:tcPr>
          <w:p w14:paraId="050D2987">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Role in this project</w:t>
            </w:r>
          </w:p>
        </w:tc>
        <w:tc>
          <w:tcPr>
            <w:tcW w:w="2631" w:type="dxa"/>
          </w:tcPr>
          <w:p w14:paraId="64FECB33">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Notes</w:t>
            </w:r>
          </w:p>
        </w:tc>
      </w:tr>
      <w:tr w14:paraId="25AA7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CC4E76F">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BIKE-Inflow</w:t>
            </w:r>
          </w:p>
        </w:tc>
        <w:tc>
          <w:tcPr>
            <w:tcW w:w="4110" w:type="dxa"/>
          </w:tcPr>
          <w:p w14:paraId="08EF7EB2">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Baseline reproduction + H3 pilot</w:t>
            </w:r>
          </w:p>
        </w:tc>
        <w:tc>
          <w:tcPr>
            <w:tcW w:w="2631" w:type="dxa"/>
          </w:tcPr>
          <w:p w14:paraId="66DC1F52">
            <w:pPr>
              <w:spacing w:after="0" w:line="240" w:lineRule="auto"/>
              <w:jc w:val="both"/>
              <w:rPr>
                <w:rFonts w:hint="default" w:ascii="Times New Roman" w:hAnsi="Times New Roman" w:cs="Times New Roman"/>
                <w:sz w:val="22"/>
                <w:szCs w:val="22"/>
              </w:rPr>
            </w:pPr>
            <w:r>
              <w:rPr>
                <w:rFonts w:hint="default" w:ascii="Times New Roman" w:hAnsi="Times New Roman" w:eastAsia="宋体" w:cs="Times New Roman"/>
                <w:sz w:val="22"/>
                <w:szCs w:val="22"/>
              </w:rPr>
              <w:t>295 bicycle-demand nodes in New York, hourly granularity</w:t>
            </w:r>
          </w:p>
        </w:tc>
      </w:tr>
      <w:tr w14:paraId="174BE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6AB6F18">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BIKE-Outflow</w:t>
            </w:r>
          </w:p>
        </w:tc>
        <w:tc>
          <w:tcPr>
            <w:tcW w:w="4110" w:type="dxa"/>
          </w:tcPr>
          <w:p w14:paraId="49D197DA">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Baseline reproduction + H1 full evaluation</w:t>
            </w:r>
          </w:p>
        </w:tc>
        <w:tc>
          <w:tcPr>
            <w:tcW w:w="2631" w:type="dxa"/>
          </w:tcPr>
          <w:p w14:paraId="08BB5F83">
            <w:pPr>
              <w:spacing w:after="0" w:line="240" w:lineRule="auto"/>
              <w:jc w:val="both"/>
              <w:rPr>
                <w:rFonts w:hint="default" w:ascii="Times New Roman" w:hAnsi="Times New Roman" w:cs="Times New Roman"/>
                <w:sz w:val="22"/>
                <w:szCs w:val="22"/>
              </w:rPr>
            </w:pPr>
            <w:r>
              <w:rPr>
                <w:rFonts w:hint="default" w:ascii="Times New Roman" w:hAnsi="Times New Roman" w:eastAsia="宋体" w:cs="Times New Roman"/>
                <w:sz w:val="22"/>
                <w:szCs w:val="22"/>
              </w:rPr>
              <w:t>295 bicycle-demand nodes in New York, hourly granularity; outflow direction</w:t>
            </w:r>
          </w:p>
        </w:tc>
      </w:tr>
      <w:tr w14:paraId="21AC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6A3B3B4">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PEMS03</w:t>
            </w:r>
          </w:p>
        </w:tc>
        <w:tc>
          <w:tcPr>
            <w:tcW w:w="4110" w:type="dxa"/>
          </w:tcPr>
          <w:p w14:paraId="6131F25B">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Baseline reproduction + H1 full evaluation</w:t>
            </w:r>
          </w:p>
        </w:tc>
        <w:tc>
          <w:tcPr>
            <w:tcW w:w="2631" w:type="dxa"/>
          </w:tcPr>
          <w:p w14:paraId="542B7176">
            <w:pPr>
              <w:spacing w:after="0" w:line="240" w:lineRule="auto"/>
              <w:jc w:val="both"/>
              <w:rPr>
                <w:rFonts w:hint="default" w:ascii="Times New Roman" w:hAnsi="Times New Roman" w:cs="Times New Roman"/>
                <w:sz w:val="22"/>
                <w:szCs w:val="22"/>
              </w:rPr>
            </w:pPr>
            <w:r>
              <w:rPr>
                <w:rFonts w:hint="default" w:ascii="Times New Roman" w:hAnsi="Times New Roman" w:eastAsia="宋体" w:cs="Times New Roman"/>
                <w:sz w:val="22"/>
                <w:szCs w:val="22"/>
              </w:rPr>
              <w:t>358 stations, 5-minute granularity</w:t>
            </w:r>
          </w:p>
        </w:tc>
      </w:tr>
      <w:tr w14:paraId="5FC4D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7742780A">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BJ500</w:t>
            </w:r>
          </w:p>
        </w:tc>
        <w:tc>
          <w:tcPr>
            <w:tcW w:w="4110" w:type="dxa"/>
          </w:tcPr>
          <w:p w14:paraId="4C041AAF">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Baseline reproduction + H1 full evaluation</w:t>
            </w:r>
          </w:p>
        </w:tc>
        <w:tc>
          <w:tcPr>
            <w:tcW w:w="2631" w:type="dxa"/>
          </w:tcPr>
          <w:p w14:paraId="54807993">
            <w:pPr>
              <w:spacing w:after="0" w:line="240" w:lineRule="auto"/>
              <w:jc w:val="both"/>
              <w:rPr>
                <w:rFonts w:hint="default" w:ascii="Times New Roman" w:hAnsi="Times New Roman" w:cs="Times New Roman"/>
                <w:sz w:val="22"/>
                <w:szCs w:val="22"/>
              </w:rPr>
            </w:pPr>
            <w:r>
              <w:rPr>
                <w:rFonts w:hint="default" w:ascii="Times New Roman" w:hAnsi="Times New Roman" w:eastAsia="宋体" w:cs="Times New Roman"/>
                <w:sz w:val="22"/>
                <w:szCs w:val="22"/>
              </w:rPr>
              <w:t>500 stations in Beijing, 5-minute granularity</w:t>
            </w:r>
          </w:p>
        </w:tc>
      </w:tr>
      <w:tr w14:paraId="63400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DDD3461">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METR-LA</w:t>
            </w:r>
          </w:p>
        </w:tc>
        <w:tc>
          <w:tcPr>
            <w:tcW w:w="4110" w:type="dxa"/>
          </w:tcPr>
          <w:p w14:paraId="4A2F26A2">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Baseline reproduction + H1 full evaluation</w:t>
            </w:r>
          </w:p>
        </w:tc>
        <w:tc>
          <w:tcPr>
            <w:tcW w:w="2631" w:type="dxa"/>
          </w:tcPr>
          <w:p w14:paraId="0DE9F3F0">
            <w:pPr>
              <w:spacing w:after="0" w:line="240" w:lineRule="auto"/>
              <w:jc w:val="both"/>
              <w:rPr>
                <w:rFonts w:hint="default" w:ascii="Times New Roman" w:hAnsi="Times New Roman" w:cs="Times New Roman"/>
                <w:sz w:val="22"/>
                <w:szCs w:val="22"/>
              </w:rPr>
            </w:pPr>
            <w:r>
              <w:rPr>
                <w:rFonts w:hint="default" w:ascii="Times New Roman" w:hAnsi="Times New Roman" w:eastAsia="宋体" w:cs="Times New Roman"/>
                <w:sz w:val="22"/>
                <w:szCs w:val="22"/>
              </w:rPr>
              <w:t>207 highway loop detectors in Los Angeles County; local data sampled every 5 minutes</w:t>
            </w:r>
          </w:p>
        </w:tc>
      </w:tr>
    </w:tbl>
    <w:p w14:paraId="3BB34FDE">
      <w:pPr>
        <w:spacing w:after="0" w:line="240" w:lineRule="auto"/>
        <w:jc w:val="both"/>
        <w:rPr>
          <w:rFonts w:ascii="Times New Roman" w:hAnsi="Times New Roman" w:cs="Times New Roman"/>
        </w:rPr>
      </w:pPr>
      <w:r>
        <w:rPr>
          <w:rFonts w:ascii="Times New Roman" w:hAnsi="Times New Roman" w:cs="Times New Roman"/>
        </w:rPr>
        <w:t>Splits, preprocessing, normalization, and evaluation are frozen from the corrected baseline. Data provenance, checksums, and retrieval instructions are in data/README.md; datasets and BERT weights are committed to Git.</w:t>
      </w:r>
    </w:p>
    <w:p w14:paraId="3C4353BF">
      <w:pPr>
        <w:spacing w:after="0" w:line="240" w:lineRule="auto"/>
        <w:jc w:val="both"/>
        <w:rPr>
          <w:rFonts w:ascii="Times New Roman" w:hAnsi="Times New Roman" w:cs="Times New Roman"/>
        </w:rPr>
      </w:pPr>
      <w:r>
        <w:rPr>
          <w:rFonts w:ascii="Times New Roman" w:hAnsi="Times New Roman" w:cs="Times New Roman"/>
        </w:rPr>
        <w:t>4.2 Evaluation implementation validation</w:t>
      </w:r>
    </w:p>
    <w:p w14:paraId="1439B77E">
      <w:pPr>
        <w:spacing w:after="0" w:line="240" w:lineRule="auto"/>
        <w:jc w:val="both"/>
        <w:rPr>
          <w:rFonts w:ascii="Times New Roman" w:hAnsi="Times New Roman" w:cs="Times New Roman"/>
        </w:rPr>
      </w:pPr>
      <w:r>
        <w:rPr>
          <w:rFonts w:ascii="Times New Roman" w:hAnsi="Times New Roman" w:cs="Times New Roman"/>
        </w:rPr>
        <w:t>Before any reported run, the metric implementation is validated on a synthetic fixture and on a known single-batch example: MAE and RMSE are recomputed from saved.npy prediction/target arrays and compared against the training-log values. scripts/eval_metrics.py and scripts/collect_results.py are the authoritative recomputation path; raw log printouts are not trusted as final evidence.</w:t>
      </w:r>
    </w:p>
    <w:p w14:paraId="054128FB">
      <w:pPr>
        <w:spacing w:after="0" w:line="240" w:lineRule="auto"/>
        <w:jc w:val="both"/>
        <w:rPr>
          <w:rFonts w:ascii="Times New Roman" w:hAnsi="Times New Roman" w:cs="Times New Roman"/>
        </w:rPr>
      </w:pPr>
      <w:r>
        <w:rPr>
          <w:rFonts w:ascii="Times New Roman" w:hAnsi="Times New Roman" w:cs="Times New Roman"/>
        </w:rPr>
        <w:t>4.3 Seeds and uncertainty</w:t>
      </w:r>
    </w:p>
    <w:p w14:paraId="056E0F0C">
      <w:pPr>
        <w:pStyle w:val="35"/>
        <w:numPr>
          <w:ilvl w:val="0"/>
          <w:numId w:val="3"/>
        </w:numPr>
        <w:spacing w:after="0" w:line="240" w:lineRule="auto"/>
        <w:jc w:val="both"/>
        <w:rPr>
          <w:rFonts w:ascii="Times New Roman" w:hAnsi="Times New Roman" w:cs="Times New Roman"/>
        </w:rPr>
      </w:pPr>
      <w:r>
        <w:rPr>
          <w:rFonts w:ascii="Times New Roman" w:hAnsi="Times New Roman" w:cs="Times New Roman"/>
        </w:rPr>
        <w:t>Baseline and H1: three seeds (2021 / 2022 / 2023 for the main H1 line).</w:t>
      </w:r>
    </w:p>
    <w:p w14:paraId="4B51F2B7">
      <w:pPr>
        <w:pStyle w:val="35"/>
        <w:numPr>
          <w:ilvl w:val="0"/>
          <w:numId w:val="3"/>
        </w:numPr>
        <w:spacing w:after="0" w:line="240" w:lineRule="auto"/>
        <w:jc w:val="both"/>
        <w:rPr>
          <w:rFonts w:ascii="Times New Roman" w:hAnsi="Times New Roman" w:cs="Times New Roman"/>
        </w:rPr>
      </w:pPr>
      <w:r>
        <w:rPr>
          <w:rFonts w:ascii="Times New Roman" w:hAnsi="Times New Roman" w:cs="Times New Roman"/>
        </w:rPr>
        <w:t>H3 (KAN pilot): seeds 2021 / 42 / 7, a different set from H1; cross-experiment comparisons are not seed-paired and are treated as independent samples.</w:t>
      </w:r>
    </w:p>
    <w:p w14:paraId="26615178">
      <w:pPr>
        <w:pStyle w:val="35"/>
        <w:numPr>
          <w:ilvl w:val="0"/>
          <w:numId w:val="3"/>
        </w:numPr>
        <w:spacing w:after="0" w:line="240" w:lineRule="auto"/>
        <w:jc w:val="both"/>
        <w:rPr>
          <w:rFonts w:ascii="Times New Roman" w:hAnsi="Times New Roman" w:cs="Times New Roman"/>
        </w:rPr>
      </w:pPr>
      <w:r>
        <w:rPr>
          <w:rFonts w:ascii="Times New Roman" w:hAnsi="Times New Roman" w:cs="Times New Roman"/>
        </w:rPr>
        <w:t>Uncertainty: mean ± standard deviation over seeds; effect size reported as the ratio of mean difference to pooled seed standard deviation.</w:t>
      </w:r>
    </w:p>
    <w:p w14:paraId="7E7F2B47">
      <w:pPr>
        <w:spacing w:after="0" w:line="240" w:lineRule="auto"/>
        <w:jc w:val="both"/>
        <w:rPr>
          <w:rFonts w:ascii="Times New Roman" w:hAnsi="Times New Roman" w:cs="Times New Roman"/>
        </w:rPr>
      </w:pPr>
      <w:r>
        <w:rPr>
          <w:rFonts w:ascii="Times New Roman" w:hAnsi="Times New Roman" w:cs="Times New Roman"/>
        </w:rPr>
        <w:t>4.4 Compute contract and traceability</w:t>
      </w:r>
    </w:p>
    <w:p w14:paraId="07265F7A">
      <w:pPr>
        <w:spacing w:after="0" w:line="240" w:lineRule="auto"/>
        <w:jc w:val="both"/>
        <w:rPr>
          <w:rFonts w:ascii="Times New Roman" w:hAnsi="Times New Roman" w:cs="Times New Roman"/>
        </w:rPr>
      </w:pPr>
      <w:r>
        <w:rPr>
          <w:rFonts w:ascii="Times New Roman" w:hAnsi="Times New Roman" w:cs="Times New Roman"/>
        </w:rPr>
        <w:t>Every reported result links to a run_id in experiments/registry.csv, a versioned config, a saved log, and a prediction artifact. experiments/results_to_artifacts.csv maps claims to artifacts. No run is overwritten; corrections create a new run or an auditable amendment.</w:t>
      </w:r>
    </w:p>
    <w:p w14:paraId="30E3F453">
      <w:pPr>
        <w:spacing w:after="0" w:line="240" w:lineRule="auto"/>
        <w:jc w:val="both"/>
        <w:rPr>
          <w:rFonts w:ascii="Times New Roman" w:hAnsi="Times New Roman" w:cs="Times New Roman"/>
          <w:b/>
          <w:bCs/>
        </w:rPr>
      </w:pPr>
      <w:r>
        <w:rPr>
          <w:rFonts w:ascii="Times New Roman" w:hAnsi="Times New Roman" w:cs="Times New Roman"/>
          <w:b/>
          <w:bCs/>
        </w:rPr>
        <w:t>5. Reproduction Results</w:t>
      </w:r>
    </w:p>
    <w:p w14:paraId="4615E65E">
      <w:pPr>
        <w:spacing w:after="0" w:line="240" w:lineRule="auto"/>
        <w:jc w:val="both"/>
        <w:rPr>
          <w:rFonts w:hint="default" w:ascii="Times New Roman" w:hAnsi="Times New Roman" w:cs="Times New Roman" w:eastAsiaTheme="minorEastAsia"/>
          <w:color w:val="FF0000"/>
          <w:lang w:val="en-US" w:eastAsia="zh-CN"/>
        </w:rPr>
      </w:pPr>
      <w:r>
        <w:rPr>
          <w:rFonts w:ascii="Times New Roman" w:hAnsi="Times New Roman" w:cs="Times New Roman"/>
          <w:color w:val="FF0000"/>
        </w:rPr>
        <w:t>5.1 Baseline across five datasets</w:t>
      </w:r>
      <w:r>
        <w:rPr>
          <w:rFonts w:hint="eastAsia" w:ascii="Times New Roman" w:hAnsi="Times New Roman" w:cs="Times New Roman"/>
          <w:color w:val="FF0000"/>
          <w:lang w:val="en-US" w:eastAsia="zh-CN"/>
        </w:rPr>
        <w:t xml:space="preserve"> (jinqi)</w:t>
      </w:r>
    </w:p>
    <w:p w14:paraId="19D945A4">
      <w:pPr>
        <w:spacing w:after="0" w:line="240" w:lineRule="auto"/>
        <w:jc w:val="both"/>
        <w:rPr>
          <w:rFonts w:ascii="Times New Roman" w:hAnsi="Times New Roman" w:cs="Times New Roman"/>
        </w:rPr>
      </w:pPr>
      <w:r>
        <w:rPr>
          <w:rFonts w:ascii="Times New Roman" w:hAnsi="Times New Roman" w:cs="Times New Roman"/>
        </w:rPr>
        <w:t>The reproduced baseline is evaluated on all five datasets. The table below is the frozen reproduction table.</w:t>
      </w:r>
    </w:p>
    <w:p w14:paraId="3F33432B">
      <w:pPr>
        <w:pStyle w:val="43"/>
        <w:spacing w:line="240" w:lineRule="auto"/>
        <w:rPr>
          <w:rFonts w:ascii="Times New Roman" w:hAnsi="Times New Roman" w:cs="Times New Roman"/>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14:paraId="1F067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CC0D09B">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Dataset</w:t>
            </w:r>
          </w:p>
        </w:tc>
        <w:tc>
          <w:tcPr>
            <w:tcW w:w="1659" w:type="dxa"/>
          </w:tcPr>
          <w:p w14:paraId="7C0F9815">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Metric</w:t>
            </w:r>
          </w:p>
        </w:tc>
        <w:tc>
          <w:tcPr>
            <w:tcW w:w="1659" w:type="dxa"/>
          </w:tcPr>
          <w:p w14:paraId="7D4A4C4B">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Reproduced baseline (mean ± std, 3 seeds)</w:t>
            </w:r>
          </w:p>
        </w:tc>
        <w:tc>
          <w:tcPr>
            <w:tcW w:w="1659" w:type="dxa"/>
          </w:tcPr>
          <w:p w14:paraId="265DE464">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Paper reference</w:t>
            </w:r>
          </w:p>
        </w:tc>
        <w:tc>
          <w:tcPr>
            <w:tcW w:w="1660" w:type="dxa"/>
          </w:tcPr>
          <w:p w14:paraId="7B0F8FA4">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Δ vs paper</w:t>
            </w:r>
          </w:p>
        </w:tc>
      </w:tr>
      <w:tr w14:paraId="748F4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5797A57">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BIKE-Inflow</w:t>
            </w:r>
          </w:p>
        </w:tc>
        <w:tc>
          <w:tcPr>
            <w:tcW w:w="1659" w:type="dxa"/>
          </w:tcPr>
          <w:p w14:paraId="30573EA9">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MAE</w:t>
            </w:r>
          </w:p>
        </w:tc>
        <w:tc>
          <w:tcPr>
            <w:tcW w:w="1659" w:type="dxa"/>
          </w:tcPr>
          <w:p w14:paraId="1E0BB82E">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5.5058 ± 0.0514</w:t>
            </w:r>
          </w:p>
        </w:tc>
        <w:tc>
          <w:tcPr>
            <w:tcW w:w="1659" w:type="dxa"/>
          </w:tcPr>
          <w:p w14:paraId="42A58DEF">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5.18</w:t>
            </w:r>
          </w:p>
        </w:tc>
        <w:tc>
          <w:tcPr>
            <w:tcW w:w="1660" w:type="dxa"/>
          </w:tcPr>
          <w:p w14:paraId="6442DFC4">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+6.29%</w:t>
            </w:r>
          </w:p>
        </w:tc>
      </w:tr>
      <w:tr w14:paraId="0E200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7F64D09">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BIKE-Inflow</w:t>
            </w:r>
          </w:p>
        </w:tc>
        <w:tc>
          <w:tcPr>
            <w:tcW w:w="1659" w:type="dxa"/>
          </w:tcPr>
          <w:p w14:paraId="7EF63373">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RMSE</w:t>
            </w:r>
          </w:p>
        </w:tc>
        <w:tc>
          <w:tcPr>
            <w:tcW w:w="1659" w:type="dxa"/>
          </w:tcPr>
          <w:p w14:paraId="4620B32B">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15.2710</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 0.2984</w:t>
            </w:r>
          </w:p>
        </w:tc>
        <w:tc>
          <w:tcPr>
            <w:tcW w:w="1659" w:type="dxa"/>
          </w:tcPr>
          <w:p w14:paraId="6F866424">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14.40</w:t>
            </w:r>
          </w:p>
        </w:tc>
        <w:tc>
          <w:tcPr>
            <w:tcW w:w="1660" w:type="dxa"/>
          </w:tcPr>
          <w:p w14:paraId="11BCAC05">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+6.05</w:t>
            </w:r>
            <w:r>
              <w:rPr>
                <w:rFonts w:hint="default" w:ascii="Times New Roman" w:hAnsi="Times New Roman" w:cs="Times New Roman"/>
                <w:sz w:val="22"/>
                <w:szCs w:val="22"/>
              </w:rPr>
              <w:t>%</w:t>
            </w:r>
          </w:p>
        </w:tc>
      </w:tr>
      <w:tr w14:paraId="4B37D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DDAB77F">
            <w:pPr>
              <w:spacing w:after="0" w:line="240" w:lineRule="auto"/>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BIKE-Outflow</w:t>
            </w:r>
          </w:p>
        </w:tc>
        <w:tc>
          <w:tcPr>
            <w:tcW w:w="1659" w:type="dxa"/>
          </w:tcPr>
          <w:p w14:paraId="4ABE79E6">
            <w:pPr>
              <w:spacing w:after="0" w:line="240" w:lineRule="auto"/>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MAE</w:t>
            </w:r>
          </w:p>
        </w:tc>
        <w:tc>
          <w:tcPr>
            <w:tcW w:w="1659" w:type="dxa"/>
          </w:tcPr>
          <w:p w14:paraId="085742A7">
            <w:pPr>
              <w:spacing w:after="0" w:line="240" w:lineRule="auto"/>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5.4711 ± 0.0232</w:t>
            </w:r>
          </w:p>
        </w:tc>
        <w:tc>
          <w:tcPr>
            <w:tcW w:w="1659" w:type="dxa"/>
          </w:tcPr>
          <w:p w14:paraId="16A4A8D5">
            <w:pPr>
              <w:spacing w:after="0" w:line="240" w:lineRule="auto"/>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5.33</w:t>
            </w:r>
          </w:p>
        </w:tc>
        <w:tc>
          <w:tcPr>
            <w:tcW w:w="1660" w:type="dxa"/>
          </w:tcPr>
          <w:p w14:paraId="45EDB4A4">
            <w:pPr>
              <w:spacing w:after="0" w:line="240" w:lineRule="auto"/>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+2.65%</w:t>
            </w:r>
          </w:p>
        </w:tc>
      </w:tr>
      <w:tr w14:paraId="60B0B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89D59B5">
            <w:pPr>
              <w:spacing w:after="0" w:line="240" w:lineRule="auto"/>
              <w:jc w:val="both"/>
              <w:rPr>
                <w:rFonts w:hint="default" w:ascii="Times New Roman" w:hAnsi="Times New Roman" w:cs="Times New Roman"/>
                <w:color w:val="000000" w:themeColor="text1"/>
                <w:sz w:val="22"/>
                <w:szCs w:val="22"/>
                <w:highlight w:val="none"/>
                <w14:textFill>
                  <w14:solidFill>
                    <w14:schemeClr w14:val="tx1"/>
                  </w14:solidFill>
                </w14:textFill>
              </w:rPr>
            </w:pPr>
            <w:r>
              <w:rPr>
                <w:rFonts w:hint="default" w:ascii="Times New Roman" w:hAnsi="Times New Roman" w:cs="Times New Roman"/>
                <w:color w:val="000000" w:themeColor="text1"/>
                <w:sz w:val="22"/>
                <w:szCs w:val="22"/>
                <w:highlight w:val="none"/>
                <w14:textFill>
                  <w14:solidFill>
                    <w14:schemeClr w14:val="tx1"/>
                  </w14:solidFill>
                </w14:textFill>
              </w:rPr>
              <w:t>BIKE-Outflow</w:t>
            </w:r>
          </w:p>
        </w:tc>
        <w:tc>
          <w:tcPr>
            <w:tcW w:w="1659" w:type="dxa"/>
          </w:tcPr>
          <w:p w14:paraId="07873B31">
            <w:pPr>
              <w:spacing w:after="0" w:line="240" w:lineRule="auto"/>
              <w:jc w:val="both"/>
              <w:rPr>
                <w:rFonts w:hint="default" w:ascii="Times New Roman" w:hAnsi="Times New Roman" w:cs="Times New Roman"/>
                <w:color w:val="000000" w:themeColor="text1"/>
                <w:sz w:val="22"/>
                <w:szCs w:val="22"/>
                <w:highlight w:val="none"/>
                <w14:textFill>
                  <w14:solidFill>
                    <w14:schemeClr w14:val="tx1"/>
                  </w14:solidFill>
                </w14:textFill>
              </w:rPr>
            </w:pPr>
            <w:r>
              <w:rPr>
                <w:rFonts w:hint="default" w:ascii="Times New Roman" w:hAnsi="Times New Roman" w:cs="Times New Roman"/>
                <w:color w:val="000000" w:themeColor="text1"/>
                <w:sz w:val="22"/>
                <w:szCs w:val="22"/>
                <w:highlight w:val="none"/>
                <w14:textFill>
                  <w14:solidFill>
                    <w14:schemeClr w14:val="tx1"/>
                  </w14:solidFill>
                </w14:textFill>
              </w:rPr>
              <w:t>RMSE</w:t>
            </w:r>
          </w:p>
        </w:tc>
        <w:tc>
          <w:tcPr>
            <w:tcW w:w="1659" w:type="dxa"/>
          </w:tcPr>
          <w:p w14:paraId="69F67062">
            <w:pPr>
              <w:spacing w:after="0" w:line="240" w:lineRule="auto"/>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13.8326 ± 0.0522</w:t>
            </w:r>
          </w:p>
        </w:tc>
        <w:tc>
          <w:tcPr>
            <w:tcW w:w="1659" w:type="dxa"/>
          </w:tcPr>
          <w:p w14:paraId="2E42588A">
            <w:pPr>
              <w:spacing w:after="0" w:line="240" w:lineRule="auto"/>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14.23</w:t>
            </w:r>
          </w:p>
        </w:tc>
        <w:tc>
          <w:tcPr>
            <w:tcW w:w="1660" w:type="dxa"/>
          </w:tcPr>
          <w:p w14:paraId="424B600D">
            <w:pPr>
              <w:spacing w:after="0" w:line="240" w:lineRule="auto"/>
              <w:jc w:val="both"/>
              <w:rPr>
                <w:rFonts w:hint="default" w:ascii="Times New Roman" w:hAnsi="Times New Roman" w:cs="Times New Roman"/>
                <w:sz w:val="22"/>
                <w:szCs w:val="22"/>
                <w:highlight w:val="none"/>
              </w:rPr>
            </w:pPr>
            <w:r>
              <w:rPr>
                <w:rFonts w:hint="default" w:ascii="Times New Roman" w:hAnsi="Times New Roman" w:eastAsia="宋体" w:cs="Times New Roman"/>
                <w:sz w:val="22"/>
                <w:szCs w:val="22"/>
              </w:rPr>
              <w:t>−2.79%</w:t>
            </w:r>
          </w:p>
        </w:tc>
      </w:tr>
      <w:tr w14:paraId="12A82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731A6F4">
            <w:pPr>
              <w:spacing w:after="0" w:line="240" w:lineRule="auto"/>
              <w:jc w:val="both"/>
              <w:rPr>
                <w:rFonts w:hint="default" w:ascii="Times New Roman" w:hAnsi="Times New Roman" w:cs="Times New Roman"/>
                <w:color w:val="000000" w:themeColor="text1"/>
                <w:sz w:val="22"/>
                <w:szCs w:val="22"/>
                <w:highlight w:val="none"/>
                <w14:textFill>
                  <w14:solidFill>
                    <w14:schemeClr w14:val="tx1"/>
                  </w14:solidFill>
                </w14:textFill>
              </w:rPr>
            </w:pPr>
            <w:r>
              <w:rPr>
                <w:rFonts w:hint="default" w:ascii="Times New Roman" w:hAnsi="Times New Roman" w:cs="Times New Roman"/>
                <w:color w:val="000000" w:themeColor="text1"/>
                <w:sz w:val="22"/>
                <w:szCs w:val="22"/>
                <w:highlight w:val="none"/>
                <w14:textFill>
                  <w14:solidFill>
                    <w14:schemeClr w14:val="tx1"/>
                  </w14:solidFill>
                </w14:textFill>
              </w:rPr>
              <w:t>PEMS03</w:t>
            </w:r>
          </w:p>
        </w:tc>
        <w:tc>
          <w:tcPr>
            <w:tcW w:w="1659" w:type="dxa"/>
          </w:tcPr>
          <w:p w14:paraId="46DECD16">
            <w:pPr>
              <w:spacing w:after="0" w:line="240" w:lineRule="auto"/>
              <w:jc w:val="both"/>
              <w:rPr>
                <w:rFonts w:hint="default" w:ascii="Times New Roman" w:hAnsi="Times New Roman" w:cs="Times New Roman"/>
                <w:color w:val="000000" w:themeColor="text1"/>
                <w:sz w:val="22"/>
                <w:szCs w:val="22"/>
                <w:highlight w:val="none"/>
                <w14:textFill>
                  <w14:solidFill>
                    <w14:schemeClr w14:val="tx1"/>
                  </w14:solidFill>
                </w14:textFill>
              </w:rPr>
            </w:pPr>
            <w:r>
              <w:rPr>
                <w:rFonts w:hint="default" w:ascii="Times New Roman" w:hAnsi="Times New Roman" w:cs="Times New Roman"/>
                <w:color w:val="000000" w:themeColor="text1"/>
                <w:sz w:val="22"/>
                <w:szCs w:val="22"/>
                <w:highlight w:val="none"/>
                <w14:textFill>
                  <w14:solidFill>
                    <w14:schemeClr w14:val="tx1"/>
                  </w14:solidFill>
                </w14:textFill>
              </w:rPr>
              <w:t>MAE</w:t>
            </w:r>
          </w:p>
        </w:tc>
        <w:tc>
          <w:tcPr>
            <w:tcW w:w="1659" w:type="dxa"/>
          </w:tcPr>
          <w:p w14:paraId="6C6E94F0">
            <w:pPr>
              <w:spacing w:after="0" w:line="240" w:lineRule="auto"/>
              <w:jc w:val="both"/>
              <w:rPr>
                <w:rFonts w:hint="default" w:ascii="Times New Roman" w:hAnsi="Times New Roman" w:cs="Times New Roman"/>
                <w:sz w:val="22"/>
                <w:szCs w:val="22"/>
                <w:highlight w:val="none"/>
              </w:rPr>
            </w:pPr>
            <w:r>
              <w:rPr>
                <w:rFonts w:hint="default" w:ascii="Times New Roman" w:hAnsi="Times New Roman" w:eastAsia="宋体" w:cs="Times New Roman"/>
                <w:sz w:val="22"/>
                <w:szCs w:val="22"/>
              </w:rPr>
              <w:t>21.3417 ± 0.2059</w:t>
            </w:r>
          </w:p>
        </w:tc>
        <w:tc>
          <w:tcPr>
            <w:tcW w:w="1659" w:type="dxa"/>
          </w:tcPr>
          <w:p w14:paraId="6954B41F">
            <w:pPr>
              <w:spacing w:after="0" w:line="240" w:lineRule="auto"/>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21.03</w:t>
            </w:r>
          </w:p>
        </w:tc>
        <w:tc>
          <w:tcPr>
            <w:tcW w:w="1660" w:type="dxa"/>
          </w:tcPr>
          <w:p w14:paraId="718EE9B1">
            <w:pPr>
              <w:spacing w:after="0" w:line="240" w:lineRule="auto"/>
              <w:jc w:val="both"/>
              <w:rPr>
                <w:rFonts w:hint="default" w:ascii="Times New Roman" w:hAnsi="Times New Roman" w:cs="Times New Roman"/>
                <w:sz w:val="22"/>
                <w:szCs w:val="22"/>
                <w:highlight w:val="none"/>
              </w:rPr>
            </w:pPr>
            <w:r>
              <w:rPr>
                <w:rFonts w:hint="default" w:ascii="Times New Roman" w:hAnsi="Times New Roman" w:eastAsia="宋体" w:cs="Times New Roman"/>
                <w:sz w:val="22"/>
                <w:szCs w:val="22"/>
              </w:rPr>
              <w:t>+1.48%</w:t>
            </w:r>
          </w:p>
        </w:tc>
      </w:tr>
      <w:tr w14:paraId="57EDC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74974D1">
            <w:pPr>
              <w:spacing w:after="0" w:line="240" w:lineRule="auto"/>
              <w:jc w:val="both"/>
              <w:rPr>
                <w:rFonts w:hint="default" w:ascii="Times New Roman" w:hAnsi="Times New Roman" w:cs="Times New Roman"/>
                <w:color w:val="000000" w:themeColor="text1"/>
                <w:sz w:val="22"/>
                <w:szCs w:val="22"/>
                <w:highlight w:val="none"/>
                <w14:textFill>
                  <w14:solidFill>
                    <w14:schemeClr w14:val="tx1"/>
                  </w14:solidFill>
                </w14:textFill>
              </w:rPr>
            </w:pPr>
            <w:r>
              <w:rPr>
                <w:rFonts w:hint="default" w:ascii="Times New Roman" w:hAnsi="Times New Roman" w:cs="Times New Roman"/>
                <w:color w:val="000000" w:themeColor="text1"/>
                <w:sz w:val="22"/>
                <w:szCs w:val="22"/>
                <w:highlight w:val="none"/>
                <w14:textFill>
                  <w14:solidFill>
                    <w14:schemeClr w14:val="tx1"/>
                  </w14:solidFill>
                </w14:textFill>
              </w:rPr>
              <w:t>PEMS03</w:t>
            </w:r>
          </w:p>
        </w:tc>
        <w:tc>
          <w:tcPr>
            <w:tcW w:w="1659" w:type="dxa"/>
          </w:tcPr>
          <w:p w14:paraId="38134CB2">
            <w:pPr>
              <w:spacing w:after="0" w:line="240" w:lineRule="auto"/>
              <w:jc w:val="both"/>
              <w:rPr>
                <w:rFonts w:hint="default" w:ascii="Times New Roman" w:hAnsi="Times New Roman" w:cs="Times New Roman"/>
                <w:color w:val="000000" w:themeColor="text1"/>
                <w:sz w:val="22"/>
                <w:szCs w:val="22"/>
                <w:highlight w:val="none"/>
                <w14:textFill>
                  <w14:solidFill>
                    <w14:schemeClr w14:val="tx1"/>
                  </w14:solidFill>
                </w14:textFill>
              </w:rPr>
            </w:pPr>
            <w:r>
              <w:rPr>
                <w:rFonts w:hint="default" w:ascii="Times New Roman" w:hAnsi="Times New Roman" w:cs="Times New Roman"/>
                <w:color w:val="000000" w:themeColor="text1"/>
                <w:sz w:val="22"/>
                <w:szCs w:val="22"/>
                <w:highlight w:val="none"/>
                <w14:textFill>
                  <w14:solidFill>
                    <w14:schemeClr w14:val="tx1"/>
                  </w14:solidFill>
                </w14:textFill>
              </w:rPr>
              <w:t>RMSE</w:t>
            </w:r>
          </w:p>
        </w:tc>
        <w:tc>
          <w:tcPr>
            <w:tcW w:w="1659" w:type="dxa"/>
          </w:tcPr>
          <w:p w14:paraId="5772092D">
            <w:pPr>
              <w:spacing w:after="0" w:line="240" w:lineRule="auto"/>
              <w:jc w:val="both"/>
              <w:rPr>
                <w:rFonts w:hint="default" w:ascii="Times New Roman" w:hAnsi="Times New Roman" w:cs="Times New Roman"/>
                <w:sz w:val="22"/>
                <w:szCs w:val="22"/>
                <w:highlight w:val="none"/>
              </w:rPr>
            </w:pPr>
            <w:r>
              <w:rPr>
                <w:rFonts w:hint="default" w:ascii="Times New Roman" w:hAnsi="Times New Roman" w:eastAsia="宋体" w:cs="Times New Roman"/>
                <w:sz w:val="22"/>
                <w:szCs w:val="22"/>
              </w:rPr>
              <w:t>35.5629 ± 0.4743</w:t>
            </w:r>
          </w:p>
        </w:tc>
        <w:tc>
          <w:tcPr>
            <w:tcW w:w="1659" w:type="dxa"/>
          </w:tcPr>
          <w:p w14:paraId="4CD6EC3F">
            <w:pPr>
              <w:spacing w:after="0" w:line="240" w:lineRule="auto"/>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34.17</w:t>
            </w:r>
          </w:p>
        </w:tc>
        <w:tc>
          <w:tcPr>
            <w:tcW w:w="1660" w:type="dxa"/>
          </w:tcPr>
          <w:p w14:paraId="6C32121D">
            <w:pPr>
              <w:spacing w:after="0" w:line="240" w:lineRule="auto"/>
              <w:jc w:val="both"/>
              <w:rPr>
                <w:rFonts w:hint="default" w:ascii="Times New Roman" w:hAnsi="Times New Roman" w:cs="Times New Roman"/>
                <w:sz w:val="22"/>
                <w:szCs w:val="22"/>
                <w:highlight w:val="none"/>
              </w:rPr>
            </w:pPr>
            <w:r>
              <w:rPr>
                <w:rFonts w:hint="default" w:ascii="Times New Roman" w:hAnsi="Times New Roman" w:eastAsia="宋体" w:cs="Times New Roman"/>
                <w:sz w:val="22"/>
                <w:szCs w:val="22"/>
              </w:rPr>
              <w:t>+4.08%</w:t>
            </w:r>
          </w:p>
        </w:tc>
      </w:tr>
      <w:tr w14:paraId="7339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8A80671">
            <w:pPr>
              <w:spacing w:after="0" w:line="240" w:lineRule="auto"/>
              <w:jc w:val="both"/>
              <w:rPr>
                <w:rFonts w:hint="default" w:ascii="Times New Roman" w:hAnsi="Times New Roman" w:cs="Times New Roman"/>
                <w:color w:val="000000" w:themeColor="text1"/>
                <w:sz w:val="22"/>
                <w:szCs w:val="22"/>
                <w:highlight w:val="none"/>
                <w14:textFill>
                  <w14:solidFill>
                    <w14:schemeClr w14:val="tx1"/>
                  </w14:solidFill>
                </w14:textFill>
              </w:rPr>
            </w:pPr>
            <w:r>
              <w:rPr>
                <w:rFonts w:hint="default" w:ascii="Times New Roman" w:hAnsi="Times New Roman" w:cs="Times New Roman"/>
                <w:color w:val="000000" w:themeColor="text1"/>
                <w:sz w:val="22"/>
                <w:szCs w:val="22"/>
                <w:highlight w:val="none"/>
                <w14:textFill>
                  <w14:solidFill>
                    <w14:schemeClr w14:val="tx1"/>
                  </w14:solidFill>
                </w14:textFill>
              </w:rPr>
              <w:t>BJ500</w:t>
            </w:r>
          </w:p>
        </w:tc>
        <w:tc>
          <w:tcPr>
            <w:tcW w:w="1659" w:type="dxa"/>
          </w:tcPr>
          <w:p w14:paraId="410C0BCC">
            <w:pPr>
              <w:spacing w:after="0" w:line="240" w:lineRule="auto"/>
              <w:jc w:val="both"/>
              <w:rPr>
                <w:rFonts w:hint="default" w:ascii="Times New Roman" w:hAnsi="Times New Roman" w:cs="Times New Roman"/>
                <w:color w:val="000000" w:themeColor="text1"/>
                <w:sz w:val="22"/>
                <w:szCs w:val="22"/>
                <w:highlight w:val="none"/>
                <w14:textFill>
                  <w14:solidFill>
                    <w14:schemeClr w14:val="tx1"/>
                  </w14:solidFill>
                </w14:textFill>
              </w:rPr>
            </w:pPr>
            <w:r>
              <w:rPr>
                <w:rFonts w:hint="default" w:ascii="Times New Roman" w:hAnsi="Times New Roman" w:cs="Times New Roman"/>
                <w:color w:val="000000" w:themeColor="text1"/>
                <w:sz w:val="22"/>
                <w:szCs w:val="22"/>
                <w:highlight w:val="none"/>
                <w14:textFill>
                  <w14:solidFill>
                    <w14:schemeClr w14:val="tx1"/>
                  </w14:solidFill>
                </w14:textFill>
              </w:rPr>
              <w:t>MAE</w:t>
            </w:r>
          </w:p>
        </w:tc>
        <w:tc>
          <w:tcPr>
            <w:tcW w:w="1659" w:type="dxa"/>
          </w:tcPr>
          <w:p w14:paraId="062D566C">
            <w:pPr>
              <w:spacing w:after="0" w:line="240" w:lineRule="auto"/>
              <w:jc w:val="both"/>
              <w:rPr>
                <w:rFonts w:hint="default" w:ascii="Times New Roman" w:hAnsi="Times New Roman" w:cs="Times New Roman"/>
                <w:sz w:val="22"/>
                <w:szCs w:val="22"/>
                <w:highlight w:val="none"/>
              </w:rPr>
            </w:pPr>
            <w:r>
              <w:rPr>
                <w:rFonts w:hint="default" w:ascii="Times New Roman" w:hAnsi="Times New Roman" w:eastAsia="宋体" w:cs="Times New Roman"/>
                <w:sz w:val="22"/>
                <w:szCs w:val="22"/>
              </w:rPr>
              <w:t>5.9667 ± 0.0954</w:t>
            </w:r>
          </w:p>
        </w:tc>
        <w:tc>
          <w:tcPr>
            <w:tcW w:w="1659" w:type="dxa"/>
          </w:tcPr>
          <w:p w14:paraId="14592163">
            <w:pPr>
              <w:spacing w:after="0" w:line="240" w:lineRule="auto"/>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5.58</w:t>
            </w:r>
          </w:p>
        </w:tc>
        <w:tc>
          <w:tcPr>
            <w:tcW w:w="1660" w:type="dxa"/>
          </w:tcPr>
          <w:p w14:paraId="3A6296A0">
            <w:pPr>
              <w:spacing w:after="0" w:line="240" w:lineRule="auto"/>
              <w:jc w:val="both"/>
              <w:rPr>
                <w:rFonts w:hint="default" w:ascii="Times New Roman" w:hAnsi="Times New Roman" w:cs="Times New Roman"/>
                <w:sz w:val="22"/>
                <w:szCs w:val="22"/>
                <w:highlight w:val="none"/>
              </w:rPr>
            </w:pPr>
            <w:r>
              <w:rPr>
                <w:rFonts w:hint="default" w:ascii="Times New Roman" w:hAnsi="Times New Roman" w:eastAsia="宋体" w:cs="Times New Roman"/>
                <w:sz w:val="22"/>
                <w:szCs w:val="22"/>
              </w:rPr>
              <w:t>+6.93%</w:t>
            </w:r>
          </w:p>
        </w:tc>
      </w:tr>
      <w:tr w14:paraId="3C292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929E0FA">
            <w:pPr>
              <w:spacing w:after="0" w:line="240" w:lineRule="auto"/>
              <w:jc w:val="both"/>
              <w:rPr>
                <w:rFonts w:hint="default" w:ascii="Times New Roman" w:hAnsi="Times New Roman" w:cs="Times New Roman"/>
                <w:color w:val="000000" w:themeColor="text1"/>
                <w:sz w:val="22"/>
                <w:szCs w:val="22"/>
                <w:highlight w:val="none"/>
                <w14:textFill>
                  <w14:solidFill>
                    <w14:schemeClr w14:val="tx1"/>
                  </w14:solidFill>
                </w14:textFill>
              </w:rPr>
            </w:pPr>
            <w:r>
              <w:rPr>
                <w:rFonts w:hint="default" w:ascii="Times New Roman" w:hAnsi="Times New Roman" w:cs="Times New Roman"/>
                <w:color w:val="000000" w:themeColor="text1"/>
                <w:sz w:val="22"/>
                <w:szCs w:val="22"/>
                <w:highlight w:val="none"/>
                <w14:textFill>
                  <w14:solidFill>
                    <w14:schemeClr w14:val="tx1"/>
                  </w14:solidFill>
                </w14:textFill>
              </w:rPr>
              <w:t>BJ500</w:t>
            </w:r>
          </w:p>
        </w:tc>
        <w:tc>
          <w:tcPr>
            <w:tcW w:w="1659" w:type="dxa"/>
          </w:tcPr>
          <w:p w14:paraId="56A8CFAE">
            <w:pPr>
              <w:spacing w:after="0" w:line="240" w:lineRule="auto"/>
              <w:jc w:val="both"/>
              <w:rPr>
                <w:rFonts w:hint="default" w:ascii="Times New Roman" w:hAnsi="Times New Roman" w:cs="Times New Roman"/>
                <w:color w:val="000000" w:themeColor="text1"/>
                <w:sz w:val="22"/>
                <w:szCs w:val="22"/>
                <w:highlight w:val="none"/>
                <w14:textFill>
                  <w14:solidFill>
                    <w14:schemeClr w14:val="tx1"/>
                  </w14:solidFill>
                </w14:textFill>
              </w:rPr>
            </w:pPr>
            <w:r>
              <w:rPr>
                <w:rFonts w:hint="default" w:ascii="Times New Roman" w:hAnsi="Times New Roman" w:cs="Times New Roman"/>
                <w:color w:val="000000" w:themeColor="text1"/>
                <w:sz w:val="22"/>
                <w:szCs w:val="22"/>
                <w:highlight w:val="none"/>
                <w14:textFill>
                  <w14:solidFill>
                    <w14:schemeClr w14:val="tx1"/>
                  </w14:solidFill>
                </w14:textFill>
              </w:rPr>
              <w:t>RMSE</w:t>
            </w:r>
          </w:p>
        </w:tc>
        <w:tc>
          <w:tcPr>
            <w:tcW w:w="1659" w:type="dxa"/>
          </w:tcPr>
          <w:p w14:paraId="25341F9A">
            <w:pPr>
              <w:spacing w:after="0" w:line="240" w:lineRule="auto"/>
              <w:jc w:val="both"/>
              <w:rPr>
                <w:rFonts w:hint="default" w:ascii="Times New Roman" w:hAnsi="Times New Roman" w:cs="Times New Roman"/>
                <w:sz w:val="22"/>
                <w:szCs w:val="22"/>
                <w:highlight w:val="none"/>
              </w:rPr>
            </w:pPr>
            <w:r>
              <w:rPr>
                <w:rFonts w:hint="default" w:ascii="Times New Roman" w:hAnsi="Times New Roman" w:eastAsia="宋体" w:cs="Times New Roman"/>
                <w:sz w:val="22"/>
                <w:szCs w:val="22"/>
              </w:rPr>
              <w:t>10.2849 ± 0.3327</w:t>
            </w:r>
          </w:p>
        </w:tc>
        <w:tc>
          <w:tcPr>
            <w:tcW w:w="1659" w:type="dxa"/>
          </w:tcPr>
          <w:p w14:paraId="5BAD252B">
            <w:pPr>
              <w:spacing w:after="0" w:line="240" w:lineRule="auto"/>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9.77</w:t>
            </w:r>
          </w:p>
        </w:tc>
        <w:tc>
          <w:tcPr>
            <w:tcW w:w="1660" w:type="dxa"/>
          </w:tcPr>
          <w:p w14:paraId="1C77D4BD">
            <w:pPr>
              <w:spacing w:after="0" w:line="240" w:lineRule="auto"/>
              <w:jc w:val="both"/>
              <w:rPr>
                <w:rFonts w:hint="default" w:ascii="Times New Roman" w:hAnsi="Times New Roman" w:cs="Times New Roman"/>
                <w:sz w:val="22"/>
                <w:szCs w:val="22"/>
                <w:highlight w:val="none"/>
              </w:rPr>
            </w:pPr>
            <w:r>
              <w:rPr>
                <w:rFonts w:hint="default" w:ascii="Times New Roman" w:hAnsi="Times New Roman" w:eastAsia="宋体" w:cs="Times New Roman"/>
                <w:sz w:val="22"/>
                <w:szCs w:val="22"/>
              </w:rPr>
              <w:t>+5.27%</w:t>
            </w:r>
          </w:p>
        </w:tc>
      </w:tr>
      <w:tr w14:paraId="32085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122A81A">
            <w:pPr>
              <w:spacing w:after="0" w:line="240" w:lineRule="auto"/>
              <w:jc w:val="both"/>
              <w:rPr>
                <w:rFonts w:hint="default" w:ascii="Times New Roman" w:hAnsi="Times New Roman" w:cs="Times New Roman"/>
                <w:color w:val="000000" w:themeColor="text1"/>
                <w:sz w:val="22"/>
                <w:szCs w:val="22"/>
                <w:highlight w:val="none"/>
                <w14:textFill>
                  <w14:solidFill>
                    <w14:schemeClr w14:val="tx1"/>
                  </w14:solidFill>
                </w14:textFill>
              </w:rPr>
            </w:pPr>
            <w:r>
              <w:rPr>
                <w:rFonts w:hint="default" w:ascii="Times New Roman" w:hAnsi="Times New Roman" w:cs="Times New Roman"/>
                <w:color w:val="000000" w:themeColor="text1"/>
                <w:sz w:val="22"/>
                <w:szCs w:val="22"/>
                <w:highlight w:val="none"/>
                <w14:textFill>
                  <w14:solidFill>
                    <w14:schemeClr w14:val="tx1"/>
                  </w14:solidFill>
                </w14:textFill>
              </w:rPr>
              <w:t>METR-LA</w:t>
            </w:r>
          </w:p>
        </w:tc>
        <w:tc>
          <w:tcPr>
            <w:tcW w:w="1659" w:type="dxa"/>
          </w:tcPr>
          <w:p w14:paraId="79979B99">
            <w:pPr>
              <w:spacing w:after="0" w:line="240" w:lineRule="auto"/>
              <w:jc w:val="both"/>
              <w:rPr>
                <w:rFonts w:hint="default" w:ascii="Times New Roman" w:hAnsi="Times New Roman" w:cs="Times New Roman"/>
                <w:color w:val="000000" w:themeColor="text1"/>
                <w:sz w:val="22"/>
                <w:szCs w:val="22"/>
                <w:highlight w:val="none"/>
                <w14:textFill>
                  <w14:solidFill>
                    <w14:schemeClr w14:val="tx1"/>
                  </w14:solidFill>
                </w14:textFill>
              </w:rPr>
            </w:pPr>
            <w:r>
              <w:rPr>
                <w:rFonts w:hint="default" w:ascii="Times New Roman" w:hAnsi="Times New Roman" w:cs="Times New Roman"/>
                <w:color w:val="000000" w:themeColor="text1"/>
                <w:sz w:val="22"/>
                <w:szCs w:val="22"/>
                <w:highlight w:val="none"/>
                <w14:textFill>
                  <w14:solidFill>
                    <w14:schemeClr w14:val="tx1"/>
                  </w14:solidFill>
                </w14:textFill>
              </w:rPr>
              <w:t>MAE</w:t>
            </w:r>
          </w:p>
        </w:tc>
        <w:tc>
          <w:tcPr>
            <w:tcW w:w="1659" w:type="dxa"/>
          </w:tcPr>
          <w:p w14:paraId="48393897">
            <w:pPr>
              <w:spacing w:after="0" w:line="240" w:lineRule="auto"/>
              <w:jc w:val="both"/>
              <w:rPr>
                <w:rFonts w:hint="default" w:ascii="Times New Roman" w:hAnsi="Times New Roman" w:cs="Times New Roman"/>
                <w:sz w:val="22"/>
                <w:szCs w:val="22"/>
                <w:highlight w:val="none"/>
              </w:rPr>
            </w:pPr>
            <w:r>
              <w:rPr>
                <w:rFonts w:hint="default" w:ascii="Times New Roman" w:hAnsi="Times New Roman" w:eastAsia="宋体" w:cs="Times New Roman"/>
                <w:sz w:val="22"/>
                <w:szCs w:val="22"/>
              </w:rPr>
              <w:t>10.1363 ± 0.5254</w:t>
            </w:r>
          </w:p>
        </w:tc>
        <w:tc>
          <w:tcPr>
            <w:tcW w:w="1659" w:type="dxa"/>
          </w:tcPr>
          <w:p w14:paraId="563CC402">
            <w:pPr>
              <w:spacing w:after="0" w:line="240" w:lineRule="auto"/>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9.42</w:t>
            </w:r>
          </w:p>
        </w:tc>
        <w:tc>
          <w:tcPr>
            <w:tcW w:w="1660" w:type="dxa"/>
          </w:tcPr>
          <w:p w14:paraId="743861AE">
            <w:pPr>
              <w:spacing w:after="0" w:line="240" w:lineRule="auto"/>
              <w:jc w:val="both"/>
              <w:rPr>
                <w:rFonts w:hint="default" w:ascii="Times New Roman" w:hAnsi="Times New Roman" w:cs="Times New Roman"/>
                <w:sz w:val="22"/>
                <w:szCs w:val="22"/>
                <w:highlight w:val="none"/>
              </w:rPr>
            </w:pPr>
            <w:r>
              <w:rPr>
                <w:rFonts w:hint="default" w:ascii="Times New Roman" w:hAnsi="Times New Roman" w:eastAsia="宋体" w:cs="Times New Roman"/>
                <w:sz w:val="22"/>
                <w:szCs w:val="22"/>
              </w:rPr>
              <w:t>+7.60%</w:t>
            </w:r>
          </w:p>
        </w:tc>
      </w:tr>
      <w:tr w14:paraId="6B39C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441016A">
            <w:pPr>
              <w:spacing w:after="0" w:line="240" w:lineRule="auto"/>
              <w:jc w:val="both"/>
              <w:rPr>
                <w:rFonts w:hint="default" w:ascii="Times New Roman" w:hAnsi="Times New Roman" w:cs="Times New Roman"/>
                <w:color w:val="000000" w:themeColor="text1"/>
                <w:sz w:val="22"/>
                <w:szCs w:val="22"/>
                <w:highlight w:val="none"/>
                <w14:textFill>
                  <w14:solidFill>
                    <w14:schemeClr w14:val="tx1"/>
                  </w14:solidFill>
                </w14:textFill>
              </w:rPr>
            </w:pPr>
            <w:r>
              <w:rPr>
                <w:rFonts w:hint="default" w:ascii="Times New Roman" w:hAnsi="Times New Roman" w:cs="Times New Roman"/>
                <w:color w:val="000000" w:themeColor="text1"/>
                <w:sz w:val="22"/>
                <w:szCs w:val="22"/>
                <w:highlight w:val="none"/>
                <w14:textFill>
                  <w14:solidFill>
                    <w14:schemeClr w14:val="tx1"/>
                  </w14:solidFill>
                </w14:textFill>
              </w:rPr>
              <w:t>METR-LA</w:t>
            </w:r>
          </w:p>
        </w:tc>
        <w:tc>
          <w:tcPr>
            <w:tcW w:w="1659" w:type="dxa"/>
          </w:tcPr>
          <w:p w14:paraId="4CDFEB91">
            <w:pPr>
              <w:spacing w:after="0" w:line="240" w:lineRule="auto"/>
              <w:jc w:val="both"/>
              <w:rPr>
                <w:rFonts w:hint="default" w:ascii="Times New Roman" w:hAnsi="Times New Roman" w:cs="Times New Roman"/>
                <w:color w:val="000000" w:themeColor="text1"/>
                <w:sz w:val="22"/>
                <w:szCs w:val="22"/>
                <w:highlight w:val="none"/>
                <w14:textFill>
                  <w14:solidFill>
                    <w14:schemeClr w14:val="tx1"/>
                  </w14:solidFill>
                </w14:textFill>
              </w:rPr>
            </w:pPr>
            <w:r>
              <w:rPr>
                <w:rFonts w:hint="default" w:ascii="Times New Roman" w:hAnsi="Times New Roman" w:cs="Times New Roman"/>
                <w:color w:val="000000" w:themeColor="text1"/>
                <w:sz w:val="22"/>
                <w:szCs w:val="22"/>
                <w:highlight w:val="none"/>
                <w14:textFill>
                  <w14:solidFill>
                    <w14:schemeClr w14:val="tx1"/>
                  </w14:solidFill>
                </w14:textFill>
              </w:rPr>
              <w:t>RMSE</w:t>
            </w:r>
          </w:p>
        </w:tc>
        <w:tc>
          <w:tcPr>
            <w:tcW w:w="1659" w:type="dxa"/>
          </w:tcPr>
          <w:p w14:paraId="455CEC06">
            <w:pPr>
              <w:spacing w:after="0" w:line="240" w:lineRule="auto"/>
              <w:jc w:val="both"/>
              <w:rPr>
                <w:rFonts w:hint="default" w:ascii="Times New Roman" w:hAnsi="Times New Roman" w:cs="Times New Roman"/>
                <w:sz w:val="22"/>
                <w:szCs w:val="22"/>
                <w:highlight w:val="none"/>
              </w:rPr>
            </w:pPr>
            <w:r>
              <w:rPr>
                <w:rFonts w:hint="default" w:ascii="Times New Roman" w:hAnsi="Times New Roman" w:eastAsia="宋体" w:cs="Times New Roman"/>
                <w:sz w:val="22"/>
                <w:szCs w:val="22"/>
              </w:rPr>
              <w:t>17.2798 ± 0.6802</w:t>
            </w:r>
          </w:p>
        </w:tc>
        <w:tc>
          <w:tcPr>
            <w:tcW w:w="1659" w:type="dxa"/>
          </w:tcPr>
          <w:p w14:paraId="18D76D8F">
            <w:pPr>
              <w:spacing w:after="0" w:line="240" w:lineRule="auto"/>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16.41</w:t>
            </w:r>
          </w:p>
        </w:tc>
        <w:tc>
          <w:tcPr>
            <w:tcW w:w="1660" w:type="dxa"/>
          </w:tcPr>
          <w:p w14:paraId="1B92D673">
            <w:pPr>
              <w:spacing w:after="0" w:line="240" w:lineRule="auto"/>
              <w:jc w:val="both"/>
              <w:rPr>
                <w:rFonts w:hint="default" w:ascii="Times New Roman" w:hAnsi="Times New Roman" w:cs="Times New Roman"/>
                <w:sz w:val="22"/>
                <w:szCs w:val="22"/>
                <w:highlight w:val="none"/>
              </w:rPr>
            </w:pPr>
            <w:r>
              <w:rPr>
                <w:rFonts w:hint="default" w:ascii="Times New Roman" w:hAnsi="Times New Roman" w:eastAsia="宋体" w:cs="Times New Roman"/>
                <w:sz w:val="22"/>
                <w:szCs w:val="22"/>
              </w:rPr>
              <w:t>+5.30%</w:t>
            </w:r>
          </w:p>
        </w:tc>
      </w:tr>
    </w:tbl>
    <w:p w14:paraId="343F02BB">
      <w:pPr>
        <w:spacing w:line="240" w:lineRule="auto"/>
        <w:jc w:val="both"/>
        <w:rPr>
          <w:rFonts w:hint="eastAsia" w:ascii="Times New Roman" w:hAnsi="Times New Roman" w:cs="Times New Roman"/>
        </w:rPr>
      </w:pPr>
      <w:r>
        <w:rPr>
          <w:rFonts w:hint="eastAsia" w:ascii="Times New Roman" w:hAnsi="Times New Roman" w:cs="Times New Roman"/>
        </w:rPr>
        <w:t>Across the five datasets, the reproduced MAE and RMSE differ from the paper by approximately 1.5%–7.6% in absolute relative terms. The results are broadly comparable, with BIKE-Outflow achieving a slightly lower RMSE. The observed gaps are plausible given differences in training settings and random initialization.</w:t>
      </w:r>
    </w:p>
    <w:p w14:paraId="473E3A12">
      <w:pPr>
        <w:numPr>
          <w:ilvl w:val="0"/>
          <w:numId w:val="4"/>
        </w:numPr>
        <w:spacing w:line="240" w:lineRule="auto"/>
        <w:jc w:val="both"/>
        <w:rPr>
          <w:rFonts w:ascii="Times New Roman" w:hAnsi="Times New Roman" w:cs="Times New Roman"/>
          <w:b/>
          <w:bCs/>
          <w:color w:val="FF0000"/>
          <w:highlight w:val="none"/>
        </w:rPr>
      </w:pPr>
      <w:r>
        <w:rPr>
          <w:rFonts w:ascii="Times New Roman" w:hAnsi="Times New Roman" w:cs="Times New Roman"/>
          <w:b/>
          <w:bCs/>
          <w:color w:val="FF0000"/>
          <w:highlight w:val="none"/>
        </w:rPr>
        <w:t>Discrepancy Diagnosis</w:t>
      </w:r>
      <w:r>
        <w:rPr>
          <w:rFonts w:hint="eastAsia" w:ascii="Times New Roman" w:hAnsi="Times New Roman" w:cs="Times New Roman"/>
          <w:b/>
          <w:bCs/>
          <w:color w:val="FF0000"/>
          <w:highlight w:val="none"/>
          <w:lang w:val="en-US" w:eastAsia="zh-CN"/>
        </w:rPr>
        <w:t xml:space="preserve"> (jin qi)</w:t>
      </w:r>
    </w:p>
    <w:p w14:paraId="62CEAA4E">
      <w:pPr>
        <w:numPr>
          <w:numId w:val="0"/>
        </w:numPr>
        <w:spacing w:line="240" w:lineRule="auto"/>
        <w:jc w:val="both"/>
        <w:rPr>
          <w:rFonts w:ascii="Times New Roman" w:hAnsi="Times New Roman" w:cs="Times New Roman"/>
          <w:b/>
          <w:bCs/>
          <w:highlight w:val="yellow"/>
        </w:rPr>
      </w:pPr>
      <w:r>
        <w:rPr>
          <w:rFonts w:hint="eastAsia" w:ascii="Times New Roman" w:hAnsi="Times New Roman" w:cs="Times New Roman"/>
          <w:b w:val="0"/>
          <w:bCs w:val="0"/>
          <w:highlight w:val="none"/>
        </w:rPr>
        <w:t>PEMS03 achieves the closest MAE to the paper, with a relative deviation of 1.48%. BIKE-Outflow has a 2.65% higher MAE but a 2.79% lower RMSE. Larger discrepancies occur on METR-LA, BJ500, and BIKE-Inflow, whose MAE values are approximately 6.3%–7.6% higher. These gaps may relate to differences in LoRA coverage, spatial-branch configuration, mixing-coefficient parameterization, effective batch size, and early stopping, alongside random initialization. Their individual contributions remain uncertain because these factors were not separately ablated.</w:t>
      </w:r>
      <w:r>
        <w:rPr>
          <w:rFonts w:hint="eastAsia" w:ascii="Times New Roman" w:hAnsi="Times New Roman" w:cs="Times New Roman"/>
          <w:b/>
          <w:bCs/>
          <w:highlight w:val="yellow"/>
        </w:rPr>
        <w:br w:type="textWrapping"/>
      </w:r>
      <w:r>
        <w:rPr>
          <w:rFonts w:hint="eastAsia" w:ascii="Times New Roman" w:hAnsi="Times New Roman" w:cs="Times New Roman"/>
          <w:b/>
          <w:bCs/>
          <w:highlight w:val="yellow"/>
        </w:rPr>
        <w:br w:type="textWrapping"/>
      </w:r>
      <w:r>
        <w:rPr>
          <w:rFonts w:hint="eastAsia" w:ascii="Times New Roman" w:hAnsi="Times New Roman" w:cs="Times New Roman"/>
          <w:b w:val="0"/>
          <w:bCs w:val="0"/>
          <w:highlight w:val="none"/>
        </w:rPr>
        <w:t>Overall, all metrics show absolute relative deviations below 8% from the paper, indicating broadly comparable predictive performance. Given the implementation and training differences described above, these results are reasonably acceptable for this coursework reproduction and provide a reference for subsequent experiments.</w:t>
      </w:r>
    </w:p>
    <w:p w14:paraId="6D703AEC">
      <w:pPr>
        <w:spacing w:line="240" w:lineRule="auto"/>
        <w:jc w:val="both"/>
        <w:rPr>
          <w:rFonts w:ascii="Times New Roman" w:hAnsi="Times New Roman" w:cs="Times New Roman"/>
          <w:b/>
          <w:bCs/>
        </w:rPr>
      </w:pPr>
      <w:r>
        <w:rPr>
          <w:rFonts w:ascii="Times New Roman" w:hAnsi="Times New Roman" w:cs="Times New Roman"/>
          <w:b/>
          <w:bCs/>
        </w:rPr>
        <w:t>7. Improvement Hypotheses</w:t>
      </w:r>
    </w:p>
    <w:p w14:paraId="7830B0DE">
      <w:pPr>
        <w:spacing w:after="0" w:line="240" w:lineRule="auto"/>
        <w:jc w:val="both"/>
        <w:rPr>
          <w:rFonts w:ascii="Times New Roman" w:hAnsi="Times New Roman" w:cs="Times New Roman"/>
        </w:rPr>
      </w:pPr>
      <w:r>
        <w:rPr>
          <w:rFonts w:ascii="Times New Roman" w:hAnsi="Times New Roman" w:cs="Times New Roman"/>
        </w:rPr>
        <w:t>The team proposed three improvement hypotheses, each tied to a diagnosed limitation of the original pipeline.</w:t>
      </w:r>
    </w:p>
    <w:p w14:paraId="7EFE3406">
      <w:pPr>
        <w:spacing w:after="0" w:line="240" w:lineRule="auto"/>
        <w:jc w:val="both"/>
        <w:rPr>
          <w:rFonts w:ascii="Times New Roman" w:hAnsi="Times New Roman" w:cs="Times New Roman"/>
        </w:rPr>
      </w:pPr>
      <w:r>
        <w:rPr>
          <w:rFonts w:ascii="Times New Roman" w:hAnsi="Times New Roman" w:cs="Times New Roman"/>
        </w:rPr>
        <w:t>H1 — Multi-periodic memory (representation stage)</w:t>
      </w:r>
    </w:p>
    <w:p w14:paraId="2C107151">
      <w:pPr>
        <w:pStyle w:val="35"/>
        <w:numPr>
          <w:ilvl w:val="0"/>
          <w:numId w:val="5"/>
        </w:numPr>
        <w:spacing w:after="0" w:line="240" w:lineRule="auto"/>
        <w:jc w:val="both"/>
        <w:rPr>
          <w:rFonts w:ascii="Times New Roman" w:hAnsi="Times New Roman" w:cs="Times New Roman"/>
        </w:rPr>
      </w:pPr>
      <w:r>
        <w:rPr>
          <w:rFonts w:ascii="Times New Roman" w:hAnsi="Times New Roman" w:cs="Times New Roman"/>
        </w:rPr>
        <w:t>Diagnosed limitation. Averaging all road segments before feeding BERT obscures node-specific intra-day dynamics and cross-day periodic patterns.</w:t>
      </w:r>
    </w:p>
    <w:p w14:paraId="32C13361">
      <w:pPr>
        <w:pStyle w:val="35"/>
        <w:numPr>
          <w:ilvl w:val="0"/>
          <w:numId w:val="5"/>
        </w:numPr>
        <w:spacing w:after="0" w:line="240" w:lineRule="auto"/>
        <w:jc w:val="both"/>
        <w:rPr>
          <w:rFonts w:ascii="Times New Roman" w:hAnsi="Times New Roman" w:cs="Times New Roman"/>
        </w:rPr>
      </w:pPr>
      <w:r>
        <w:rPr>
          <w:rFonts w:ascii="Times New Roman" w:hAnsi="Times New Roman" w:cs="Times New Roman"/>
        </w:rPr>
        <w:t>Mechanism. Construct recent, intra-day, and cross-day periodic tokens per road segment, explicitly separating recurring history from current-cycle deviations.</w:t>
      </w:r>
    </w:p>
    <w:p w14:paraId="0AE23769">
      <w:pPr>
        <w:pStyle w:val="35"/>
        <w:numPr>
          <w:ilvl w:val="0"/>
          <w:numId w:val="5"/>
        </w:numPr>
        <w:spacing w:after="0" w:line="240" w:lineRule="auto"/>
        <w:jc w:val="both"/>
        <w:rPr>
          <w:rFonts w:ascii="Times New Roman" w:hAnsi="Times New Roman" w:cs="Times New Roman"/>
        </w:rPr>
      </w:pPr>
      <w:r>
        <w:rPr>
          <w:rFonts w:ascii="Times New Roman" w:hAnsi="Times New Roman" w:cs="Times New Roman"/>
        </w:rPr>
        <w:t>Falsifiable prediction. On datasets with strong daily periodicity, H1 reduces MAE relative to the reproduced baseline; the gain should be larger on BIKE and METR-LA than on PEMS03 if the periodic-token mechanism is the active ingredient.</w:t>
      </w:r>
    </w:p>
    <w:p w14:paraId="45C914D0">
      <w:pPr>
        <w:pStyle w:val="35"/>
        <w:numPr>
          <w:ilvl w:val="0"/>
          <w:numId w:val="5"/>
        </w:numPr>
        <w:spacing w:after="0" w:line="240" w:lineRule="auto"/>
        <w:jc w:val="both"/>
        <w:rPr>
          <w:rFonts w:ascii="Times New Roman" w:hAnsi="Times New Roman" w:cs="Times New Roman"/>
        </w:rPr>
      </w:pPr>
      <w:r>
        <w:rPr>
          <w:rFonts w:ascii="Times New Roman" w:hAnsi="Times New Roman" w:cs="Times New Roman"/>
        </w:rPr>
        <w:t>Information-match note. H1 uses a longer historical window than the baseline. This is a property of the mechanism, and it means H1-vs-baseline is not an information-matched comparison. H1 is therefore not used to make “same-information” claims against H3.</w:t>
      </w:r>
    </w:p>
    <w:p w14:paraId="4E3036F8">
      <w:pPr>
        <w:spacing w:after="0" w:line="240" w:lineRule="auto"/>
        <w:jc w:val="both"/>
        <w:rPr>
          <w:rFonts w:ascii="Times New Roman" w:hAnsi="Times New Roman" w:cs="Times New Roman"/>
        </w:rPr>
      </w:pPr>
      <w:r>
        <w:rPr>
          <w:rFonts w:ascii="Times New Roman" w:hAnsi="Times New Roman" w:cs="Times New Roman"/>
        </w:rPr>
        <w:t>H2 — Node–time adaptive gating (fusion stage)</w:t>
      </w:r>
    </w:p>
    <w:p w14:paraId="2F1E78A5">
      <w:pPr>
        <w:pStyle w:val="35"/>
        <w:numPr>
          <w:ilvl w:val="0"/>
          <w:numId w:val="6"/>
        </w:numPr>
        <w:spacing w:after="0" w:line="240" w:lineRule="auto"/>
        <w:jc w:val="both"/>
        <w:rPr>
          <w:rFonts w:ascii="Times New Roman" w:hAnsi="Times New Roman" w:cs="Times New Roman"/>
        </w:rPr>
      </w:pPr>
      <w:r>
        <w:rPr>
          <w:rFonts w:ascii="Times New Roman" w:hAnsi="Times New Roman" w:cs="Times New Roman"/>
        </w:rPr>
        <w:t>Diagnosed limitation. The fixed GCN–hypergraph fusion coefficient cannot adapt the relative importance of pairwise adjacency and higher-order group relations across nodes and time steps.</w:t>
      </w:r>
    </w:p>
    <w:p w14:paraId="0D19B805">
      <w:pPr>
        <w:pStyle w:val="35"/>
        <w:numPr>
          <w:ilvl w:val="0"/>
          <w:numId w:val="6"/>
        </w:numPr>
        <w:spacing w:after="0" w:line="240" w:lineRule="auto"/>
        <w:jc w:val="both"/>
        <w:rPr>
          <w:rFonts w:ascii="Times New Roman" w:hAnsi="Times New Roman" w:cs="Times New Roman"/>
        </w:rPr>
      </w:pPr>
      <w:r>
        <w:rPr>
          <w:rFonts w:ascii="Times New Roman" w:hAnsi="Times New Roman" w:cs="Times New Roman"/>
        </w:rPr>
        <w:t>Mechanism. A node–time adaptive gate that dynamically balances the GCN local-adjacency contribution and the hypergraph higher-order contribution.</w:t>
      </w:r>
    </w:p>
    <w:p w14:paraId="7AC03D4E">
      <w:pPr>
        <w:pStyle w:val="35"/>
        <w:numPr>
          <w:ilvl w:val="0"/>
          <w:numId w:val="6"/>
        </w:numPr>
        <w:spacing w:after="0" w:line="240" w:lineRule="auto"/>
        <w:jc w:val="both"/>
        <w:rPr>
          <w:rFonts w:ascii="Times New Roman" w:hAnsi="Times New Roman" w:cs="Times New Roman"/>
        </w:rPr>
      </w:pPr>
      <w:r>
        <w:rPr>
          <w:rFonts w:ascii="Times New Roman" w:hAnsi="Times New Roman" w:cs="Times New Roman"/>
        </w:rPr>
        <w:t>Falsifiable prediction. The adaptive gate reduces validation RMSE relative to a fixed fusion coefficient, with the largest gains on datasets where spatial relations drift (METR-LA, BJ500).</w:t>
      </w:r>
    </w:p>
    <w:p w14:paraId="6CE20415">
      <w:pPr>
        <w:pStyle w:val="35"/>
        <w:numPr>
          <w:ilvl w:val="0"/>
          <w:numId w:val="6"/>
        </w:numPr>
        <w:spacing w:after="0" w:line="240" w:lineRule="auto"/>
        <w:jc w:val="both"/>
        <w:rPr>
          <w:rFonts w:ascii="Times New Roman" w:hAnsi="Times New Roman" w:cs="Times New Roman"/>
        </w:rPr>
      </w:pPr>
      <w:r>
        <w:rPr>
          <w:rFonts w:ascii="Times New Roman" w:hAnsi="Times New Roman" w:cs="Times New Roman"/>
        </w:rPr>
        <w:t>Status. Proposed; not selected for pilot in the current frozen evidence set.</w:t>
      </w:r>
    </w:p>
    <w:p w14:paraId="35C396C3">
      <w:pPr>
        <w:spacing w:after="0" w:line="240" w:lineRule="auto"/>
        <w:jc w:val="both"/>
        <w:rPr>
          <w:rFonts w:ascii="Times New Roman" w:hAnsi="Times New Roman" w:cs="Times New Roman"/>
        </w:rPr>
      </w:pPr>
      <w:r>
        <w:rPr>
          <w:rFonts w:ascii="Times New Roman" w:hAnsi="Times New Roman" w:cs="Times New Roman"/>
        </w:rPr>
        <w:t>H3 — KAN prediction head (prediction stage)</w:t>
      </w:r>
    </w:p>
    <w:p w14:paraId="3AA46056">
      <w:pPr>
        <w:pStyle w:val="35"/>
        <w:numPr>
          <w:ilvl w:val="0"/>
          <w:numId w:val="7"/>
        </w:numPr>
        <w:spacing w:after="0" w:line="240" w:lineRule="auto"/>
        <w:jc w:val="both"/>
        <w:rPr>
          <w:rFonts w:ascii="Times New Roman" w:hAnsi="Times New Roman" w:cs="Times New Roman"/>
        </w:rPr>
      </w:pPr>
      <w:r>
        <w:rPr>
          <w:rFonts w:ascii="Times New Roman" w:hAnsi="Times New Roman" w:cs="Times New Roman"/>
        </w:rPr>
        <w:t>Diagnosed limitation. The MLP head with fixed activation functions has limited capacity to capture the complex nonlinear mapping from fused latent representations to future traffic states.</w:t>
      </w:r>
    </w:p>
    <w:p w14:paraId="4BDFBADE">
      <w:pPr>
        <w:pStyle w:val="35"/>
        <w:numPr>
          <w:ilvl w:val="0"/>
          <w:numId w:val="7"/>
        </w:numPr>
        <w:spacing w:after="0" w:line="240" w:lineRule="auto"/>
        <w:jc w:val="both"/>
        <w:rPr>
          <w:rFonts w:ascii="Times New Roman" w:hAnsi="Times New Roman" w:cs="Times New Roman"/>
        </w:rPr>
      </w:pPr>
      <w:r>
        <w:rPr>
          <w:rFonts w:ascii="Times New Roman" w:hAnsi="Times New Roman" w:cs="Times New Roman"/>
        </w:rPr>
        <w:t>Mechanism. Replace nn.Linear(192, 48) with KANLinear(192, 48; grid_size=5, spline_order=3), using learnable B-spline basis functions. Input and output dimensions are unchanged; the gate fusion module is untouched; update_grid is disabled; no extra historical input is introduced.</w:t>
      </w:r>
    </w:p>
    <w:p w14:paraId="5B0CDD86">
      <w:pPr>
        <w:pStyle w:val="35"/>
        <w:numPr>
          <w:ilvl w:val="0"/>
          <w:numId w:val="7"/>
        </w:numPr>
        <w:spacing w:after="0" w:line="240" w:lineRule="auto"/>
        <w:jc w:val="both"/>
        <w:rPr>
          <w:rFonts w:ascii="Times New Roman" w:hAnsi="Times New Roman" w:cs="Times New Roman"/>
        </w:rPr>
      </w:pPr>
      <w:r>
        <w:rPr>
          <w:rFonts w:ascii="Times New Roman" w:hAnsi="Times New Roman" w:cs="Times New Roman"/>
        </w:rPr>
        <w:t>Falsifiable prediction. If the prediction-head nonlinearity is a meaningful bottleneck, KAN should reduce MAE and RMSE relative to the MLP head at matched training budget and seeds. If the gate fusion has already imposed sufficient nonlinearity, the gain should be small or null.</w:t>
      </w:r>
    </w:p>
    <w:p w14:paraId="600B7356">
      <w:pPr>
        <w:spacing w:after="0" w:line="240" w:lineRule="auto"/>
        <w:jc w:val="both"/>
        <w:rPr>
          <w:rFonts w:ascii="Times New Roman" w:hAnsi="Times New Roman" w:cs="Times New Roman"/>
        </w:rPr>
      </w:pPr>
      <w:r>
        <w:rPr>
          <w:rFonts w:ascii="Times New Roman" w:hAnsi="Times New Roman" w:cs="Times New Roman"/>
        </w:rPr>
        <w:t>Selection rule. The frozen rule is: the hypothesis with the larger pilot relative gain advances to full evaluation. H1’s PEMS03 pilot gain is substantially larger than H3’s BIKE-Inflow pilot gain, so H1 advances to full evaluation on all five datasets, and H3 is reported as a complete controlled ablation.</w:t>
      </w:r>
    </w:p>
    <w:p w14:paraId="52DF2916">
      <w:pPr>
        <w:spacing w:after="0" w:line="240" w:lineRule="auto"/>
        <w:jc w:val="both"/>
        <w:rPr>
          <w:rFonts w:ascii="Times New Roman" w:hAnsi="Times New Roman" w:cs="Times New Roman"/>
          <w:b/>
          <w:bCs/>
        </w:rPr>
      </w:pPr>
      <w:r>
        <w:rPr>
          <w:rFonts w:ascii="Times New Roman" w:hAnsi="Times New Roman" w:cs="Times New Roman"/>
          <w:b/>
          <w:bCs/>
        </w:rPr>
        <w:t>8. Controlled Evaluation and Ablations</w:t>
      </w:r>
    </w:p>
    <w:p w14:paraId="67D802DE">
      <w:pPr>
        <w:spacing w:after="0" w:line="240" w:lineRule="auto"/>
        <w:jc w:val="both"/>
        <w:rPr>
          <w:rFonts w:ascii="Times New Roman" w:hAnsi="Times New Roman" w:cs="Times New Roman"/>
        </w:rPr>
      </w:pPr>
      <w:r>
        <w:rPr>
          <w:rFonts w:ascii="Times New Roman" w:hAnsi="Times New Roman" w:cs="Times New Roman"/>
        </w:rPr>
        <w:t>8.1 H1 full evaluation (team result)</w:t>
      </w:r>
    </w:p>
    <w:p w14:paraId="5450DA9B">
      <w:pPr>
        <w:spacing w:after="0" w:line="240" w:lineRule="auto"/>
        <w:jc w:val="both"/>
        <w:rPr>
          <w:rFonts w:ascii="Times New Roman" w:hAnsi="Times New Roman" w:cs="Times New Roman"/>
        </w:rPr>
      </w:pPr>
      <w:r>
        <w:rPr>
          <w:rFonts w:ascii="Times New Roman" w:hAnsi="Times New Roman" w:cs="Times New Roman"/>
        </w:rPr>
        <w:t>H1 is evaluated on the five datasets under the same frozen protocol as the baseline. The table is filled from the H1 registered runs.</w:t>
      </w:r>
    </w:p>
    <w:p w14:paraId="00FC5E3B">
      <w:pPr>
        <w:pStyle w:val="43"/>
        <w:spacing w:line="240" w:lineRule="auto"/>
        <w:rPr>
          <w:rFonts w:ascii="Times New Roman" w:hAnsi="Times New Roman" w:cs="Times New Roman"/>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1135"/>
        <w:gridCol w:w="1125"/>
        <w:gridCol w:w="1120"/>
        <w:gridCol w:w="1135"/>
        <w:gridCol w:w="1125"/>
        <w:gridCol w:w="1120"/>
      </w:tblGrid>
      <w:tr w14:paraId="08933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7D4E5ECA">
            <w:pPr>
              <w:spacing w:after="0" w:line="240" w:lineRule="auto"/>
              <w:jc w:val="both"/>
              <w:rPr>
                <w:rFonts w:ascii="Times New Roman" w:hAnsi="Times New Roman" w:cs="Times New Roman"/>
                <w:highlight w:val="yellow"/>
              </w:rPr>
            </w:pPr>
            <w:r>
              <w:rPr>
                <w:rFonts w:ascii="Times New Roman" w:hAnsi="Times New Roman" w:cs="Times New Roman"/>
                <w:highlight w:val="yellow"/>
              </w:rPr>
              <w:t>Dataset</w:t>
            </w:r>
          </w:p>
        </w:tc>
        <w:tc>
          <w:tcPr>
            <w:tcW w:w="1185" w:type="dxa"/>
          </w:tcPr>
          <w:p w14:paraId="42976FDB">
            <w:pPr>
              <w:spacing w:after="0" w:line="240" w:lineRule="auto"/>
              <w:jc w:val="both"/>
              <w:rPr>
                <w:rFonts w:ascii="Times New Roman" w:hAnsi="Times New Roman" w:cs="Times New Roman"/>
                <w:highlight w:val="yellow"/>
              </w:rPr>
            </w:pPr>
            <w:r>
              <w:rPr>
                <w:rFonts w:ascii="Times New Roman" w:hAnsi="Times New Roman" w:cs="Times New Roman"/>
                <w:highlight w:val="yellow"/>
              </w:rPr>
              <w:t>Baseline MAE</w:t>
            </w:r>
          </w:p>
        </w:tc>
        <w:tc>
          <w:tcPr>
            <w:tcW w:w="1185" w:type="dxa"/>
          </w:tcPr>
          <w:p w14:paraId="46AB03CB">
            <w:pPr>
              <w:spacing w:after="0" w:line="240" w:lineRule="auto"/>
              <w:jc w:val="both"/>
              <w:rPr>
                <w:rFonts w:ascii="Times New Roman" w:hAnsi="Times New Roman" w:cs="Times New Roman"/>
                <w:highlight w:val="yellow"/>
              </w:rPr>
            </w:pPr>
            <w:r>
              <w:rPr>
                <w:rFonts w:ascii="Times New Roman" w:hAnsi="Times New Roman" w:cs="Times New Roman"/>
                <w:highlight w:val="yellow"/>
              </w:rPr>
              <w:t>H1 MAE</w:t>
            </w:r>
          </w:p>
        </w:tc>
        <w:tc>
          <w:tcPr>
            <w:tcW w:w="1185" w:type="dxa"/>
          </w:tcPr>
          <w:p w14:paraId="29BD576B">
            <w:pPr>
              <w:spacing w:after="0" w:line="240" w:lineRule="auto"/>
              <w:jc w:val="both"/>
              <w:rPr>
                <w:rFonts w:ascii="Times New Roman" w:hAnsi="Times New Roman" w:cs="Times New Roman"/>
                <w:highlight w:val="yellow"/>
              </w:rPr>
            </w:pPr>
            <w:r>
              <w:rPr>
                <w:rFonts w:ascii="Times New Roman" w:hAnsi="Times New Roman" w:cs="Times New Roman"/>
                <w:highlight w:val="yellow"/>
              </w:rPr>
              <w:t>Δ MAE</w:t>
            </w:r>
          </w:p>
        </w:tc>
        <w:tc>
          <w:tcPr>
            <w:tcW w:w="1185" w:type="dxa"/>
          </w:tcPr>
          <w:p w14:paraId="5FCF6116">
            <w:pPr>
              <w:spacing w:after="0" w:line="240" w:lineRule="auto"/>
              <w:jc w:val="both"/>
              <w:rPr>
                <w:rFonts w:ascii="Times New Roman" w:hAnsi="Times New Roman" w:cs="Times New Roman"/>
                <w:highlight w:val="yellow"/>
              </w:rPr>
            </w:pPr>
            <w:r>
              <w:rPr>
                <w:rFonts w:ascii="Times New Roman" w:hAnsi="Times New Roman" w:cs="Times New Roman"/>
                <w:highlight w:val="yellow"/>
              </w:rPr>
              <w:t>Baseline RMSE</w:t>
            </w:r>
          </w:p>
        </w:tc>
        <w:tc>
          <w:tcPr>
            <w:tcW w:w="1185" w:type="dxa"/>
          </w:tcPr>
          <w:p w14:paraId="31CC7231">
            <w:pPr>
              <w:spacing w:after="0" w:line="240" w:lineRule="auto"/>
              <w:jc w:val="both"/>
              <w:rPr>
                <w:rFonts w:ascii="Times New Roman" w:hAnsi="Times New Roman" w:cs="Times New Roman"/>
                <w:highlight w:val="yellow"/>
              </w:rPr>
            </w:pPr>
            <w:r>
              <w:rPr>
                <w:rFonts w:ascii="Times New Roman" w:hAnsi="Times New Roman" w:cs="Times New Roman"/>
                <w:highlight w:val="yellow"/>
              </w:rPr>
              <w:t>H1 RMSE</w:t>
            </w:r>
          </w:p>
        </w:tc>
        <w:tc>
          <w:tcPr>
            <w:tcW w:w="1186" w:type="dxa"/>
          </w:tcPr>
          <w:p w14:paraId="0B459C8B">
            <w:pPr>
              <w:spacing w:after="0" w:line="240" w:lineRule="auto"/>
              <w:jc w:val="both"/>
              <w:rPr>
                <w:rFonts w:ascii="Times New Roman" w:hAnsi="Times New Roman" w:cs="Times New Roman"/>
                <w:highlight w:val="yellow"/>
              </w:rPr>
            </w:pPr>
            <w:r>
              <w:rPr>
                <w:rFonts w:ascii="Times New Roman" w:hAnsi="Times New Roman" w:cs="Times New Roman"/>
                <w:highlight w:val="yellow"/>
              </w:rPr>
              <w:t>Δ RMSE</w:t>
            </w:r>
          </w:p>
        </w:tc>
      </w:tr>
      <w:tr w14:paraId="20DE4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120CCB55">
            <w:pPr>
              <w:spacing w:after="0" w:line="240" w:lineRule="auto"/>
              <w:jc w:val="both"/>
              <w:rPr>
                <w:rFonts w:ascii="Times New Roman" w:hAnsi="Times New Roman" w:cs="Times New Roman"/>
                <w:highlight w:val="yellow"/>
              </w:rPr>
            </w:pPr>
            <w:r>
              <w:rPr>
                <w:rFonts w:ascii="Times New Roman" w:hAnsi="Times New Roman" w:cs="Times New Roman"/>
                <w:highlight w:val="yellow"/>
              </w:rPr>
              <w:t>BIKE-Inflow</w:t>
            </w:r>
          </w:p>
        </w:tc>
        <w:tc>
          <w:tcPr>
            <w:tcW w:w="1185" w:type="dxa"/>
          </w:tcPr>
          <w:p w14:paraId="0FE1283D">
            <w:pPr>
              <w:spacing w:after="0" w:line="240" w:lineRule="auto"/>
              <w:jc w:val="both"/>
              <w:rPr>
                <w:rFonts w:ascii="Times New Roman" w:hAnsi="Times New Roman" w:cs="Times New Roman"/>
                <w:highlight w:val="yellow"/>
              </w:rPr>
            </w:pPr>
            <w:r>
              <w:rPr>
                <w:rFonts w:ascii="Times New Roman" w:hAnsi="Times New Roman" w:cs="Times New Roman"/>
                <w:highlight w:val="yellow"/>
              </w:rPr>
              <w:t>5.2570</w:t>
            </w:r>
          </w:p>
        </w:tc>
        <w:tc>
          <w:tcPr>
            <w:tcW w:w="1185" w:type="dxa"/>
          </w:tcPr>
          <w:p w14:paraId="4BD17404">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c>
          <w:tcPr>
            <w:tcW w:w="1185" w:type="dxa"/>
          </w:tcPr>
          <w:p w14:paraId="3D5C9EB6">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c>
          <w:tcPr>
            <w:tcW w:w="1185" w:type="dxa"/>
          </w:tcPr>
          <w:p w14:paraId="25417D1E">
            <w:pPr>
              <w:spacing w:after="0" w:line="240" w:lineRule="auto"/>
              <w:jc w:val="both"/>
              <w:rPr>
                <w:rFonts w:ascii="Times New Roman" w:hAnsi="Times New Roman" w:cs="Times New Roman"/>
                <w:highlight w:val="yellow"/>
              </w:rPr>
            </w:pPr>
            <w:r>
              <w:rPr>
                <w:rFonts w:ascii="Times New Roman" w:hAnsi="Times New Roman" w:cs="Times New Roman"/>
                <w:highlight w:val="yellow"/>
              </w:rPr>
              <w:t>14.1383</w:t>
            </w:r>
          </w:p>
        </w:tc>
        <w:tc>
          <w:tcPr>
            <w:tcW w:w="1185" w:type="dxa"/>
          </w:tcPr>
          <w:p w14:paraId="5C69A8EF">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c>
          <w:tcPr>
            <w:tcW w:w="1186" w:type="dxa"/>
          </w:tcPr>
          <w:p w14:paraId="5C82CC23">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r>
      <w:tr w14:paraId="1ABE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0AB4F92E">
            <w:pPr>
              <w:spacing w:after="0" w:line="240" w:lineRule="auto"/>
              <w:jc w:val="both"/>
              <w:rPr>
                <w:rFonts w:ascii="Times New Roman" w:hAnsi="Times New Roman" w:cs="Times New Roman"/>
                <w:highlight w:val="yellow"/>
              </w:rPr>
            </w:pPr>
            <w:r>
              <w:rPr>
                <w:rFonts w:ascii="Times New Roman" w:hAnsi="Times New Roman" w:cs="Times New Roman"/>
                <w:highlight w:val="yellow"/>
              </w:rPr>
              <w:t>BIKE-Outflow</w:t>
            </w:r>
          </w:p>
        </w:tc>
        <w:tc>
          <w:tcPr>
            <w:tcW w:w="1185" w:type="dxa"/>
          </w:tcPr>
          <w:p w14:paraId="5BC80DDC">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c>
          <w:tcPr>
            <w:tcW w:w="1185" w:type="dxa"/>
          </w:tcPr>
          <w:p w14:paraId="24C89AF3">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c>
          <w:tcPr>
            <w:tcW w:w="1185" w:type="dxa"/>
          </w:tcPr>
          <w:p w14:paraId="3EED1094">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c>
          <w:tcPr>
            <w:tcW w:w="1185" w:type="dxa"/>
          </w:tcPr>
          <w:p w14:paraId="27A1CF5D">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c>
          <w:tcPr>
            <w:tcW w:w="1185" w:type="dxa"/>
          </w:tcPr>
          <w:p w14:paraId="059CF536">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c>
          <w:tcPr>
            <w:tcW w:w="1186" w:type="dxa"/>
          </w:tcPr>
          <w:p w14:paraId="7177C499">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r>
      <w:tr w14:paraId="685D2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08F826CE">
            <w:pPr>
              <w:spacing w:after="0" w:line="240" w:lineRule="auto"/>
              <w:jc w:val="both"/>
              <w:rPr>
                <w:rFonts w:ascii="Times New Roman" w:hAnsi="Times New Roman" w:cs="Times New Roman"/>
                <w:highlight w:val="yellow"/>
              </w:rPr>
            </w:pPr>
            <w:r>
              <w:rPr>
                <w:rFonts w:ascii="Times New Roman" w:hAnsi="Times New Roman" w:cs="Times New Roman"/>
                <w:highlight w:val="yellow"/>
              </w:rPr>
              <w:t>PEMS03</w:t>
            </w:r>
          </w:p>
        </w:tc>
        <w:tc>
          <w:tcPr>
            <w:tcW w:w="1185" w:type="dxa"/>
          </w:tcPr>
          <w:p w14:paraId="32F56389">
            <w:pPr>
              <w:spacing w:after="0" w:line="240" w:lineRule="auto"/>
              <w:jc w:val="both"/>
              <w:rPr>
                <w:rFonts w:ascii="Times New Roman" w:hAnsi="Times New Roman" w:cs="Times New Roman"/>
                <w:highlight w:val="yellow"/>
              </w:rPr>
            </w:pPr>
            <w:r>
              <w:rPr>
                <w:rFonts w:ascii="Times New Roman" w:hAnsi="Times New Roman" w:cs="Times New Roman"/>
                <w:highlight w:val="yellow"/>
              </w:rPr>
              <w:t>21.5005</w:t>
            </w:r>
          </w:p>
        </w:tc>
        <w:tc>
          <w:tcPr>
            <w:tcW w:w="1185" w:type="dxa"/>
          </w:tcPr>
          <w:p w14:paraId="0AF8492D">
            <w:pPr>
              <w:spacing w:after="0" w:line="240" w:lineRule="auto"/>
              <w:jc w:val="both"/>
              <w:rPr>
                <w:rFonts w:ascii="Times New Roman" w:hAnsi="Times New Roman" w:cs="Times New Roman"/>
                <w:highlight w:val="yellow"/>
              </w:rPr>
            </w:pPr>
            <w:r>
              <w:rPr>
                <w:rFonts w:ascii="Times New Roman" w:hAnsi="Times New Roman" w:cs="Times New Roman"/>
                <w:highlight w:val="yellow"/>
              </w:rPr>
              <w:t>17.9783</w:t>
            </w:r>
          </w:p>
        </w:tc>
        <w:tc>
          <w:tcPr>
            <w:tcW w:w="1185" w:type="dxa"/>
          </w:tcPr>
          <w:p w14:paraId="721C04FB">
            <w:pPr>
              <w:spacing w:after="0" w:line="240" w:lineRule="auto"/>
              <w:jc w:val="both"/>
              <w:rPr>
                <w:rFonts w:ascii="Times New Roman" w:hAnsi="Times New Roman" w:cs="Times New Roman"/>
                <w:highlight w:val="yellow"/>
              </w:rPr>
            </w:pPr>
            <w:r>
              <w:rPr>
                <w:rFonts w:ascii="Times New Roman" w:hAnsi="Times New Roman" w:cs="Times New Roman"/>
                <w:highlight w:val="yellow"/>
              </w:rPr>
              <w:t>−16.4%</w:t>
            </w:r>
          </w:p>
        </w:tc>
        <w:tc>
          <w:tcPr>
            <w:tcW w:w="1185" w:type="dxa"/>
          </w:tcPr>
          <w:p w14:paraId="37F815E2">
            <w:pPr>
              <w:spacing w:after="0" w:line="240" w:lineRule="auto"/>
              <w:jc w:val="both"/>
              <w:rPr>
                <w:rFonts w:ascii="Times New Roman" w:hAnsi="Times New Roman" w:cs="Times New Roman"/>
                <w:highlight w:val="yellow"/>
              </w:rPr>
            </w:pPr>
            <w:r>
              <w:rPr>
                <w:rFonts w:ascii="Times New Roman" w:hAnsi="Times New Roman" w:cs="Times New Roman"/>
                <w:highlight w:val="yellow"/>
              </w:rPr>
              <w:t>32.8145</w:t>
            </w:r>
          </w:p>
        </w:tc>
        <w:tc>
          <w:tcPr>
            <w:tcW w:w="1185" w:type="dxa"/>
          </w:tcPr>
          <w:p w14:paraId="436C4CF4">
            <w:pPr>
              <w:spacing w:after="0" w:line="240" w:lineRule="auto"/>
              <w:jc w:val="both"/>
              <w:rPr>
                <w:rFonts w:ascii="Times New Roman" w:hAnsi="Times New Roman" w:cs="Times New Roman"/>
                <w:highlight w:val="yellow"/>
              </w:rPr>
            </w:pPr>
            <w:r>
              <w:rPr>
                <w:rFonts w:ascii="Times New Roman" w:hAnsi="Times New Roman" w:cs="Times New Roman"/>
                <w:highlight w:val="yellow"/>
              </w:rPr>
              <w:t>28.4649</w:t>
            </w:r>
          </w:p>
        </w:tc>
        <w:tc>
          <w:tcPr>
            <w:tcW w:w="1186" w:type="dxa"/>
          </w:tcPr>
          <w:p w14:paraId="2CD0FBEB">
            <w:pPr>
              <w:spacing w:after="0" w:line="240" w:lineRule="auto"/>
              <w:jc w:val="both"/>
              <w:rPr>
                <w:rFonts w:ascii="Times New Roman" w:hAnsi="Times New Roman" w:cs="Times New Roman"/>
                <w:highlight w:val="yellow"/>
              </w:rPr>
            </w:pPr>
            <w:r>
              <w:rPr>
                <w:rFonts w:ascii="Times New Roman" w:hAnsi="Times New Roman" w:cs="Times New Roman"/>
                <w:highlight w:val="yellow"/>
              </w:rPr>
              <w:t>−13.3%</w:t>
            </w:r>
          </w:p>
        </w:tc>
      </w:tr>
      <w:tr w14:paraId="7283C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57B81FDD">
            <w:pPr>
              <w:spacing w:after="0" w:line="240" w:lineRule="auto"/>
              <w:jc w:val="both"/>
              <w:rPr>
                <w:rFonts w:ascii="Times New Roman" w:hAnsi="Times New Roman" w:cs="Times New Roman"/>
                <w:highlight w:val="yellow"/>
              </w:rPr>
            </w:pPr>
            <w:r>
              <w:rPr>
                <w:rFonts w:ascii="Times New Roman" w:hAnsi="Times New Roman" w:cs="Times New Roman"/>
                <w:highlight w:val="yellow"/>
              </w:rPr>
              <w:t>BJ500</w:t>
            </w:r>
          </w:p>
        </w:tc>
        <w:tc>
          <w:tcPr>
            <w:tcW w:w="1185" w:type="dxa"/>
          </w:tcPr>
          <w:p w14:paraId="4DAB4769">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c>
          <w:tcPr>
            <w:tcW w:w="1185" w:type="dxa"/>
          </w:tcPr>
          <w:p w14:paraId="3EDF7716">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c>
          <w:tcPr>
            <w:tcW w:w="1185" w:type="dxa"/>
          </w:tcPr>
          <w:p w14:paraId="1DE86F12">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c>
          <w:tcPr>
            <w:tcW w:w="1185" w:type="dxa"/>
          </w:tcPr>
          <w:p w14:paraId="78F9C47A">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c>
          <w:tcPr>
            <w:tcW w:w="1185" w:type="dxa"/>
          </w:tcPr>
          <w:p w14:paraId="20F36C57">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c>
          <w:tcPr>
            <w:tcW w:w="1186" w:type="dxa"/>
          </w:tcPr>
          <w:p w14:paraId="35900E5D">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r>
      <w:tr w14:paraId="44E20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448C184F">
            <w:pPr>
              <w:spacing w:after="0" w:line="240" w:lineRule="auto"/>
              <w:jc w:val="both"/>
              <w:rPr>
                <w:rFonts w:ascii="Times New Roman" w:hAnsi="Times New Roman" w:cs="Times New Roman"/>
                <w:highlight w:val="yellow"/>
              </w:rPr>
            </w:pPr>
            <w:r>
              <w:rPr>
                <w:rFonts w:ascii="Times New Roman" w:hAnsi="Times New Roman" w:cs="Times New Roman"/>
                <w:highlight w:val="yellow"/>
              </w:rPr>
              <w:t>METR-LA</w:t>
            </w:r>
          </w:p>
        </w:tc>
        <w:tc>
          <w:tcPr>
            <w:tcW w:w="1185" w:type="dxa"/>
          </w:tcPr>
          <w:p w14:paraId="4D8D7AAC">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c>
          <w:tcPr>
            <w:tcW w:w="1185" w:type="dxa"/>
          </w:tcPr>
          <w:p w14:paraId="47A7E882">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c>
          <w:tcPr>
            <w:tcW w:w="1185" w:type="dxa"/>
          </w:tcPr>
          <w:p w14:paraId="0F8F9CC5">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c>
          <w:tcPr>
            <w:tcW w:w="1185" w:type="dxa"/>
          </w:tcPr>
          <w:p w14:paraId="137DE75E">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c>
          <w:tcPr>
            <w:tcW w:w="1185" w:type="dxa"/>
          </w:tcPr>
          <w:p w14:paraId="6021C4A8">
            <w:pPr>
              <w:spacing w:after="0" w:line="240" w:lineRule="auto"/>
              <w:jc w:val="both"/>
              <w:rPr>
                <w:rFonts w:ascii="Times New Roman" w:hAnsi="Times New Roman" w:cs="Times New Roman"/>
                <w:highlight w:val="yellow"/>
              </w:rPr>
            </w:pPr>
            <w:r>
              <w:rPr>
                <w:rFonts w:ascii="Times New Roman" w:hAnsi="Times New Roman" w:cs="Times New Roman"/>
                <w:highlight w:val="yellow"/>
              </w:rPr>
              <w:t>[ ]</w:t>
            </w:r>
          </w:p>
        </w:tc>
        <w:tc>
          <w:tcPr>
            <w:tcW w:w="1186" w:type="dxa"/>
          </w:tcPr>
          <w:p w14:paraId="0A825420">
            <w:pPr>
              <w:spacing w:after="0" w:line="240" w:lineRule="auto"/>
              <w:jc w:val="both"/>
              <w:rPr>
                <w:rFonts w:ascii="Times New Roman" w:hAnsi="Times New Roman" w:cs="Times New Roman"/>
              </w:rPr>
            </w:pPr>
            <w:r>
              <w:rPr>
                <w:rFonts w:ascii="Times New Roman" w:hAnsi="Times New Roman" w:cs="Times New Roman"/>
                <w:highlight w:val="yellow"/>
              </w:rPr>
              <w:t>[ ]</w:t>
            </w:r>
          </w:p>
        </w:tc>
      </w:tr>
    </w:tbl>
    <w:p w14:paraId="7EDEC26C">
      <w:pPr>
        <w:spacing w:after="0" w:line="240" w:lineRule="auto"/>
        <w:jc w:val="both"/>
        <w:rPr>
          <w:rFonts w:ascii="Times New Roman" w:hAnsi="Times New Roman" w:cs="Times New Roman"/>
        </w:rPr>
      </w:pPr>
      <w:r>
        <w:rPr>
          <w:rFonts w:ascii="Times New Roman" w:hAnsi="Times New Roman" w:cs="Times New Roman"/>
        </w:rPr>
        <w:t>The PEMS03 pilot already shows a large H1 gain (−16.4% MAE, −13.3% RMSE relative to the baseline). The full-evaluation table determines whether this direction holds across datasets. Because H1 uses additional historical context, the gain is interpreted as the joint effect of the periodic-token representation and the longer window.</w:t>
      </w:r>
    </w:p>
    <w:p w14:paraId="3FB009BD">
      <w:pPr>
        <w:spacing w:after="0" w:line="240" w:lineRule="auto"/>
        <w:jc w:val="both"/>
        <w:rPr>
          <w:rFonts w:ascii="Times New Roman" w:hAnsi="Times New Roman" w:cs="Times New Roman"/>
        </w:rPr>
      </w:pPr>
      <w:r>
        <w:rPr>
          <w:rFonts w:ascii="Times New Roman" w:hAnsi="Times New Roman" w:cs="Times New Roman"/>
        </w:rPr>
        <w:t>8.2 H3 controlled ablation on BIKE-Inflow (author’s result)</w:t>
      </w:r>
    </w:p>
    <w:p w14:paraId="4B8BD02A">
      <w:pPr>
        <w:spacing w:after="0" w:line="240" w:lineRule="auto"/>
        <w:jc w:val="both"/>
        <w:rPr>
          <w:rFonts w:ascii="Times New Roman" w:hAnsi="Times New Roman" w:cs="Times New Roman"/>
        </w:rPr>
      </w:pPr>
      <w:r>
        <w:rPr>
          <w:rFonts w:ascii="Times New Roman" w:hAnsi="Times New Roman" w:cs="Times New Roman"/>
        </w:rPr>
        <w:t>Design. MLP head and KAN head share the same corrected baseline, BERT backbone, adaptive gate, data split, seeds, epoch budget, patience rule, and environment repairs. The only scientific variable is --use_kan.</w:t>
      </w:r>
    </w:p>
    <w:p w14:paraId="48C55263">
      <w:pPr>
        <w:pStyle w:val="43"/>
        <w:spacing w:line="240" w:lineRule="auto"/>
        <w:rPr>
          <w:rFonts w:ascii="Times New Roman" w:hAnsi="Times New Roman" w:cs="Times New Roman"/>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276"/>
        <w:gridCol w:w="1276"/>
        <w:gridCol w:w="1417"/>
        <w:gridCol w:w="1559"/>
        <w:gridCol w:w="1497"/>
      </w:tblGrid>
      <w:tr w14:paraId="0C008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1" w:type="dxa"/>
          </w:tcPr>
          <w:p w14:paraId="4DABA9FA">
            <w:pPr>
              <w:spacing w:after="0" w:line="240" w:lineRule="auto"/>
              <w:jc w:val="both"/>
              <w:rPr>
                <w:rFonts w:ascii="Times New Roman" w:hAnsi="Times New Roman" w:cs="Times New Roman"/>
              </w:rPr>
            </w:pPr>
            <w:r>
              <w:rPr>
                <w:rFonts w:ascii="Times New Roman" w:hAnsi="Times New Roman" w:cs="Times New Roman"/>
              </w:rPr>
              <w:t>Head</w:t>
            </w:r>
          </w:p>
        </w:tc>
        <w:tc>
          <w:tcPr>
            <w:tcW w:w="1276" w:type="dxa"/>
          </w:tcPr>
          <w:p w14:paraId="4DA4C744">
            <w:pPr>
              <w:spacing w:after="0" w:line="240" w:lineRule="auto"/>
              <w:jc w:val="both"/>
              <w:rPr>
                <w:rFonts w:ascii="Times New Roman" w:hAnsi="Times New Roman" w:cs="Times New Roman"/>
              </w:rPr>
            </w:pPr>
            <w:r>
              <w:rPr>
                <w:rFonts w:ascii="Times New Roman" w:hAnsi="Times New Roman" w:cs="Times New Roman"/>
              </w:rPr>
              <w:t>MAE (mean ± std)</w:t>
            </w:r>
          </w:p>
        </w:tc>
        <w:tc>
          <w:tcPr>
            <w:tcW w:w="1276" w:type="dxa"/>
          </w:tcPr>
          <w:p w14:paraId="457D67AD">
            <w:pPr>
              <w:spacing w:after="0" w:line="240" w:lineRule="auto"/>
              <w:jc w:val="both"/>
              <w:rPr>
                <w:rFonts w:ascii="Times New Roman" w:hAnsi="Times New Roman" w:cs="Times New Roman"/>
              </w:rPr>
            </w:pPr>
            <w:r>
              <w:rPr>
                <w:rFonts w:ascii="Times New Roman" w:hAnsi="Times New Roman" w:cs="Times New Roman"/>
              </w:rPr>
              <w:t>RMSE (mean ± std)</w:t>
            </w:r>
          </w:p>
        </w:tc>
        <w:tc>
          <w:tcPr>
            <w:tcW w:w="1417" w:type="dxa"/>
          </w:tcPr>
          <w:p w14:paraId="76FF27DE">
            <w:pPr>
              <w:spacing w:after="0" w:line="240" w:lineRule="auto"/>
              <w:jc w:val="both"/>
              <w:rPr>
                <w:rFonts w:ascii="Times New Roman" w:hAnsi="Times New Roman" w:cs="Times New Roman"/>
              </w:rPr>
            </w:pPr>
            <w:r>
              <w:rPr>
                <w:rFonts w:ascii="Times New Roman" w:hAnsi="Times New Roman" w:cs="Times New Roman"/>
              </w:rPr>
              <w:t>Robust MAPE (|y|≥1)</w:t>
            </w:r>
          </w:p>
        </w:tc>
        <w:tc>
          <w:tcPr>
            <w:tcW w:w="1559" w:type="dxa"/>
          </w:tcPr>
          <w:p w14:paraId="35A96F8D">
            <w:pPr>
              <w:spacing w:after="0" w:line="240" w:lineRule="auto"/>
              <w:jc w:val="both"/>
              <w:rPr>
                <w:rFonts w:ascii="Times New Roman" w:hAnsi="Times New Roman" w:cs="Times New Roman"/>
              </w:rPr>
            </w:pPr>
            <w:r>
              <w:rPr>
                <w:rFonts w:ascii="Times New Roman" w:hAnsi="Times New Roman" w:cs="Times New Roman"/>
              </w:rPr>
              <w:t>Head params</w:t>
            </w:r>
          </w:p>
        </w:tc>
        <w:tc>
          <w:tcPr>
            <w:tcW w:w="1497" w:type="dxa"/>
          </w:tcPr>
          <w:p w14:paraId="40295076">
            <w:pPr>
              <w:spacing w:after="0" w:line="240" w:lineRule="auto"/>
              <w:jc w:val="both"/>
              <w:rPr>
                <w:rFonts w:ascii="Times New Roman" w:hAnsi="Times New Roman" w:cs="Times New Roman"/>
              </w:rPr>
            </w:pPr>
            <w:r>
              <w:rPr>
                <w:rFonts w:ascii="Times New Roman" w:hAnsi="Times New Roman" w:cs="Times New Roman"/>
              </w:rPr>
              <w:t>Total params</w:t>
            </w:r>
          </w:p>
        </w:tc>
      </w:tr>
      <w:tr w14:paraId="410F1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BA1E3F1">
            <w:pPr>
              <w:spacing w:after="0" w:line="240" w:lineRule="auto"/>
              <w:jc w:val="both"/>
              <w:rPr>
                <w:rFonts w:ascii="Times New Roman" w:hAnsi="Times New Roman" w:cs="Times New Roman"/>
              </w:rPr>
            </w:pPr>
            <w:r>
              <w:rPr>
                <w:rFonts w:ascii="Times New Roman" w:hAnsi="Times New Roman" w:cs="Times New Roman"/>
              </w:rPr>
              <w:t>MLP baseline</w:t>
            </w:r>
          </w:p>
        </w:tc>
        <w:tc>
          <w:tcPr>
            <w:tcW w:w="1276" w:type="dxa"/>
          </w:tcPr>
          <w:p w14:paraId="5CB24866">
            <w:pPr>
              <w:spacing w:after="0" w:line="240" w:lineRule="auto"/>
              <w:jc w:val="both"/>
              <w:rPr>
                <w:rFonts w:ascii="Times New Roman" w:hAnsi="Times New Roman" w:cs="Times New Roman"/>
              </w:rPr>
            </w:pPr>
            <w:r>
              <w:rPr>
                <w:rFonts w:ascii="Times New Roman" w:hAnsi="Times New Roman" w:cs="Times New Roman"/>
              </w:rPr>
              <w:t>5.2570 ± 0.0302</w:t>
            </w:r>
          </w:p>
        </w:tc>
        <w:tc>
          <w:tcPr>
            <w:tcW w:w="1276" w:type="dxa"/>
          </w:tcPr>
          <w:p w14:paraId="3E906592">
            <w:pPr>
              <w:spacing w:after="0" w:line="240" w:lineRule="auto"/>
              <w:jc w:val="both"/>
              <w:rPr>
                <w:rFonts w:ascii="Times New Roman" w:hAnsi="Times New Roman" w:cs="Times New Roman"/>
              </w:rPr>
            </w:pPr>
            <w:r>
              <w:rPr>
                <w:rFonts w:ascii="Times New Roman" w:hAnsi="Times New Roman" w:cs="Times New Roman"/>
              </w:rPr>
              <w:t>14.1383 ± 0.0462</w:t>
            </w:r>
          </w:p>
        </w:tc>
        <w:tc>
          <w:tcPr>
            <w:tcW w:w="1417" w:type="dxa"/>
          </w:tcPr>
          <w:p w14:paraId="449556D3">
            <w:pPr>
              <w:spacing w:after="0" w:line="240" w:lineRule="auto"/>
              <w:jc w:val="both"/>
              <w:rPr>
                <w:rFonts w:ascii="Times New Roman" w:hAnsi="Times New Roman" w:cs="Times New Roman"/>
              </w:rPr>
            </w:pPr>
            <w:r>
              <w:rPr>
                <w:rFonts w:ascii="Times New Roman" w:hAnsi="Times New Roman" w:cs="Times New Roman"/>
              </w:rPr>
              <w:t>77.417 ± 0.827</w:t>
            </w:r>
          </w:p>
        </w:tc>
        <w:tc>
          <w:tcPr>
            <w:tcW w:w="1559" w:type="dxa"/>
          </w:tcPr>
          <w:p w14:paraId="3030ACC1">
            <w:pPr>
              <w:spacing w:after="0" w:line="240" w:lineRule="auto"/>
              <w:jc w:val="both"/>
              <w:rPr>
                <w:rFonts w:ascii="Times New Roman" w:hAnsi="Times New Roman" w:cs="Times New Roman"/>
              </w:rPr>
            </w:pPr>
            <w:r>
              <w:rPr>
                <w:rFonts w:ascii="Times New Roman" w:hAnsi="Times New Roman" w:cs="Times New Roman"/>
              </w:rPr>
              <w:t>9,264</w:t>
            </w:r>
          </w:p>
        </w:tc>
        <w:tc>
          <w:tcPr>
            <w:tcW w:w="1497" w:type="dxa"/>
          </w:tcPr>
          <w:p w14:paraId="56602242">
            <w:pPr>
              <w:spacing w:after="0" w:line="240" w:lineRule="auto"/>
              <w:jc w:val="both"/>
              <w:rPr>
                <w:rFonts w:ascii="Times New Roman" w:hAnsi="Times New Roman" w:cs="Times New Roman"/>
              </w:rPr>
            </w:pPr>
            <w:r>
              <w:rPr>
                <w:rFonts w:ascii="Times New Roman" w:hAnsi="Times New Roman" w:cs="Times New Roman"/>
              </w:rPr>
              <w:t>109,219,949</w:t>
            </w:r>
          </w:p>
        </w:tc>
      </w:tr>
      <w:tr w14:paraId="372F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ACC81B3">
            <w:pPr>
              <w:spacing w:after="0" w:line="240" w:lineRule="auto"/>
              <w:jc w:val="both"/>
              <w:rPr>
                <w:rFonts w:ascii="Times New Roman" w:hAnsi="Times New Roman" w:cs="Times New Roman"/>
              </w:rPr>
            </w:pPr>
            <w:r>
              <w:rPr>
                <w:rFonts w:ascii="Times New Roman" w:hAnsi="Times New Roman" w:cs="Times New Roman"/>
              </w:rPr>
              <w:t>KANLinear</w:t>
            </w:r>
          </w:p>
        </w:tc>
        <w:tc>
          <w:tcPr>
            <w:tcW w:w="1276" w:type="dxa"/>
          </w:tcPr>
          <w:p w14:paraId="12989F99">
            <w:pPr>
              <w:spacing w:after="0" w:line="240" w:lineRule="auto"/>
              <w:jc w:val="both"/>
              <w:rPr>
                <w:rFonts w:ascii="Times New Roman" w:hAnsi="Times New Roman" w:cs="Times New Roman"/>
              </w:rPr>
            </w:pPr>
            <w:r>
              <w:rPr>
                <w:rFonts w:ascii="Times New Roman" w:hAnsi="Times New Roman" w:cs="Times New Roman"/>
              </w:rPr>
              <w:t>5.1006 ± 0.0240</w:t>
            </w:r>
          </w:p>
        </w:tc>
        <w:tc>
          <w:tcPr>
            <w:tcW w:w="1276" w:type="dxa"/>
          </w:tcPr>
          <w:p w14:paraId="042F75E5">
            <w:pPr>
              <w:spacing w:after="0" w:line="240" w:lineRule="auto"/>
              <w:jc w:val="both"/>
              <w:rPr>
                <w:rFonts w:ascii="Times New Roman" w:hAnsi="Times New Roman" w:cs="Times New Roman"/>
              </w:rPr>
            </w:pPr>
            <w:r>
              <w:rPr>
                <w:rFonts w:ascii="Times New Roman" w:hAnsi="Times New Roman" w:cs="Times New Roman"/>
              </w:rPr>
              <w:t>13.4306 ± 0.0908</w:t>
            </w:r>
          </w:p>
        </w:tc>
        <w:tc>
          <w:tcPr>
            <w:tcW w:w="1417" w:type="dxa"/>
          </w:tcPr>
          <w:p w14:paraId="2BCA8658">
            <w:pPr>
              <w:spacing w:after="0" w:line="240" w:lineRule="auto"/>
              <w:jc w:val="both"/>
              <w:rPr>
                <w:rFonts w:ascii="Times New Roman" w:hAnsi="Times New Roman" w:cs="Times New Roman"/>
              </w:rPr>
            </w:pPr>
            <w:r>
              <w:rPr>
                <w:rFonts w:ascii="Times New Roman" w:hAnsi="Times New Roman" w:cs="Times New Roman"/>
              </w:rPr>
              <w:t>80.175 ± 0.191</w:t>
            </w:r>
          </w:p>
        </w:tc>
        <w:tc>
          <w:tcPr>
            <w:tcW w:w="1559" w:type="dxa"/>
          </w:tcPr>
          <w:p w14:paraId="1390A1A2">
            <w:pPr>
              <w:spacing w:after="0" w:line="240" w:lineRule="auto"/>
              <w:jc w:val="both"/>
              <w:rPr>
                <w:rFonts w:ascii="Times New Roman" w:hAnsi="Times New Roman" w:cs="Times New Roman"/>
              </w:rPr>
            </w:pPr>
            <w:r>
              <w:rPr>
                <w:rFonts w:ascii="Times New Roman" w:hAnsi="Times New Roman" w:cs="Times New Roman"/>
              </w:rPr>
              <w:t>103,680</w:t>
            </w:r>
          </w:p>
        </w:tc>
        <w:tc>
          <w:tcPr>
            <w:tcW w:w="1497" w:type="dxa"/>
          </w:tcPr>
          <w:p w14:paraId="2E957827">
            <w:pPr>
              <w:spacing w:after="0" w:line="240" w:lineRule="auto"/>
              <w:jc w:val="both"/>
              <w:rPr>
                <w:rFonts w:ascii="Times New Roman" w:hAnsi="Times New Roman" w:cs="Times New Roman"/>
              </w:rPr>
            </w:pPr>
            <w:r>
              <w:rPr>
                <w:rFonts w:ascii="Times New Roman" w:hAnsi="Times New Roman" w:cs="Times New Roman"/>
              </w:rPr>
              <w:t>109,314,365</w:t>
            </w:r>
          </w:p>
        </w:tc>
      </w:tr>
      <w:tr w14:paraId="11843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AFACEA0">
            <w:pPr>
              <w:spacing w:after="0" w:line="240" w:lineRule="auto"/>
              <w:jc w:val="both"/>
              <w:rPr>
                <w:rFonts w:ascii="Times New Roman" w:hAnsi="Times New Roman" w:cs="Times New Roman"/>
              </w:rPr>
            </w:pPr>
            <w:r>
              <w:rPr>
                <w:rFonts w:ascii="Times New Roman" w:hAnsi="Times New Roman" w:cs="Times New Roman"/>
              </w:rPr>
              <w:t>Change</w:t>
            </w:r>
          </w:p>
        </w:tc>
        <w:tc>
          <w:tcPr>
            <w:tcW w:w="1276" w:type="dxa"/>
          </w:tcPr>
          <w:p w14:paraId="72D5A278">
            <w:pPr>
              <w:spacing w:after="0" w:line="240" w:lineRule="auto"/>
              <w:jc w:val="both"/>
              <w:rPr>
                <w:rFonts w:ascii="Times New Roman" w:hAnsi="Times New Roman" w:cs="Times New Roman"/>
              </w:rPr>
            </w:pPr>
            <w:r>
              <w:rPr>
                <w:rFonts w:ascii="Times New Roman" w:hAnsi="Times New Roman" w:cs="Times New Roman"/>
              </w:rPr>
              <w:t>−2.97%</w:t>
            </w:r>
          </w:p>
        </w:tc>
        <w:tc>
          <w:tcPr>
            <w:tcW w:w="1276" w:type="dxa"/>
          </w:tcPr>
          <w:p w14:paraId="08C6C757">
            <w:pPr>
              <w:spacing w:after="0" w:line="240" w:lineRule="auto"/>
              <w:jc w:val="both"/>
              <w:rPr>
                <w:rFonts w:ascii="Times New Roman" w:hAnsi="Times New Roman" w:cs="Times New Roman"/>
              </w:rPr>
            </w:pPr>
            <w:r>
              <w:rPr>
                <w:rFonts w:ascii="Times New Roman" w:hAnsi="Times New Roman" w:cs="Times New Roman"/>
              </w:rPr>
              <w:t>−5.01%</w:t>
            </w:r>
          </w:p>
        </w:tc>
        <w:tc>
          <w:tcPr>
            <w:tcW w:w="1417" w:type="dxa"/>
          </w:tcPr>
          <w:p w14:paraId="4CD9FDE4">
            <w:pPr>
              <w:spacing w:after="0" w:line="240" w:lineRule="auto"/>
              <w:jc w:val="both"/>
              <w:rPr>
                <w:rFonts w:ascii="Times New Roman" w:hAnsi="Times New Roman" w:cs="Times New Roman"/>
              </w:rPr>
            </w:pPr>
            <w:r>
              <w:rPr>
                <w:rFonts w:ascii="Times New Roman" w:hAnsi="Times New Roman" w:cs="Times New Roman"/>
              </w:rPr>
              <w:t>+3.6 pts</w:t>
            </w:r>
          </w:p>
        </w:tc>
        <w:tc>
          <w:tcPr>
            <w:tcW w:w="1559" w:type="dxa"/>
          </w:tcPr>
          <w:p w14:paraId="61EDF0E3">
            <w:pPr>
              <w:spacing w:after="0" w:line="240" w:lineRule="auto"/>
              <w:jc w:val="both"/>
              <w:rPr>
                <w:rFonts w:ascii="Times New Roman" w:hAnsi="Times New Roman" w:cs="Times New Roman"/>
              </w:rPr>
            </w:pPr>
            <w:r>
              <w:rPr>
                <w:rFonts w:ascii="Times New Roman" w:hAnsi="Times New Roman" w:cs="Times New Roman"/>
              </w:rPr>
              <w:t>+94,416</w:t>
            </w:r>
          </w:p>
        </w:tc>
        <w:tc>
          <w:tcPr>
            <w:tcW w:w="1497" w:type="dxa"/>
          </w:tcPr>
          <w:p w14:paraId="003F253C">
            <w:pPr>
              <w:spacing w:after="0" w:line="240" w:lineRule="auto"/>
              <w:jc w:val="both"/>
              <w:rPr>
                <w:rFonts w:ascii="Times New Roman" w:hAnsi="Times New Roman" w:cs="Times New Roman"/>
              </w:rPr>
            </w:pPr>
            <w:r>
              <w:rPr>
                <w:rFonts w:ascii="Times New Roman" w:hAnsi="Times New Roman" w:cs="Times New Roman"/>
              </w:rPr>
              <w:t>+0.086%</w:t>
            </w:r>
          </w:p>
        </w:tc>
      </w:tr>
    </w:tbl>
    <w:p w14:paraId="6F2D623E">
      <w:pPr>
        <w:pStyle w:val="43"/>
        <w:spacing w:line="240" w:lineRule="auto"/>
        <w:rPr>
          <w:rFonts w:ascii="Times New Roman" w:hAnsi="Times New Roman" w:cs="Times New Roman"/>
        </w:rPr>
      </w:pPr>
      <w:r>
        <w:rPr>
          <w:rFonts w:ascii="Times New Roman" w:hAnsi="Times New Roman" w:cs="Times New Roman"/>
        </w:rPr>
        <w:t>Per-seed detail.</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14:paraId="543F6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2AAC830">
            <w:pPr>
              <w:spacing w:after="0" w:line="240" w:lineRule="auto"/>
              <w:jc w:val="both"/>
              <w:rPr>
                <w:rFonts w:ascii="Times New Roman" w:hAnsi="Times New Roman" w:cs="Times New Roman"/>
              </w:rPr>
            </w:pPr>
            <w:r>
              <w:rPr>
                <w:rFonts w:ascii="Times New Roman" w:hAnsi="Times New Roman" w:cs="Times New Roman"/>
              </w:rPr>
              <w:t>Seed</w:t>
            </w:r>
          </w:p>
        </w:tc>
        <w:tc>
          <w:tcPr>
            <w:tcW w:w="1659" w:type="dxa"/>
          </w:tcPr>
          <w:p w14:paraId="2CCEB9CC">
            <w:pPr>
              <w:spacing w:after="0" w:line="240" w:lineRule="auto"/>
              <w:jc w:val="both"/>
              <w:rPr>
                <w:rFonts w:ascii="Times New Roman" w:hAnsi="Times New Roman" w:cs="Times New Roman"/>
              </w:rPr>
            </w:pPr>
            <w:r>
              <w:rPr>
                <w:rFonts w:ascii="Times New Roman" w:hAnsi="Times New Roman" w:cs="Times New Roman"/>
              </w:rPr>
              <w:t>MLP MAE</w:t>
            </w:r>
          </w:p>
        </w:tc>
        <w:tc>
          <w:tcPr>
            <w:tcW w:w="1659" w:type="dxa"/>
          </w:tcPr>
          <w:p w14:paraId="11BA9137">
            <w:pPr>
              <w:spacing w:after="0" w:line="240" w:lineRule="auto"/>
              <w:jc w:val="both"/>
              <w:rPr>
                <w:rFonts w:ascii="Times New Roman" w:hAnsi="Times New Roman" w:cs="Times New Roman"/>
              </w:rPr>
            </w:pPr>
            <w:r>
              <w:rPr>
                <w:rFonts w:ascii="Times New Roman" w:hAnsi="Times New Roman" w:cs="Times New Roman"/>
              </w:rPr>
              <w:t>MLP RMSE</w:t>
            </w:r>
          </w:p>
        </w:tc>
        <w:tc>
          <w:tcPr>
            <w:tcW w:w="1659" w:type="dxa"/>
          </w:tcPr>
          <w:p w14:paraId="3D61B71C">
            <w:pPr>
              <w:spacing w:after="0" w:line="240" w:lineRule="auto"/>
              <w:jc w:val="both"/>
              <w:rPr>
                <w:rFonts w:ascii="Times New Roman" w:hAnsi="Times New Roman" w:cs="Times New Roman"/>
              </w:rPr>
            </w:pPr>
            <w:r>
              <w:rPr>
                <w:rFonts w:ascii="Times New Roman" w:hAnsi="Times New Roman" w:cs="Times New Roman"/>
              </w:rPr>
              <w:t>KAN MAE</w:t>
            </w:r>
          </w:p>
        </w:tc>
        <w:tc>
          <w:tcPr>
            <w:tcW w:w="1660" w:type="dxa"/>
          </w:tcPr>
          <w:p w14:paraId="68BA75A0">
            <w:pPr>
              <w:spacing w:after="0" w:line="240" w:lineRule="auto"/>
              <w:jc w:val="both"/>
              <w:rPr>
                <w:rFonts w:ascii="Times New Roman" w:hAnsi="Times New Roman" w:cs="Times New Roman"/>
              </w:rPr>
            </w:pPr>
            <w:r>
              <w:rPr>
                <w:rFonts w:ascii="Times New Roman" w:hAnsi="Times New Roman" w:cs="Times New Roman"/>
              </w:rPr>
              <w:t>KAN RMSE</w:t>
            </w:r>
          </w:p>
        </w:tc>
      </w:tr>
      <w:tr w14:paraId="77327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062CE99">
            <w:pPr>
              <w:spacing w:after="0" w:line="240" w:lineRule="auto"/>
              <w:jc w:val="both"/>
              <w:rPr>
                <w:rFonts w:ascii="Times New Roman" w:hAnsi="Times New Roman" w:cs="Times New Roman"/>
              </w:rPr>
            </w:pPr>
            <w:r>
              <w:rPr>
                <w:rFonts w:ascii="Times New Roman" w:hAnsi="Times New Roman" w:cs="Times New Roman"/>
              </w:rPr>
              <w:t>2021</w:t>
            </w:r>
          </w:p>
        </w:tc>
        <w:tc>
          <w:tcPr>
            <w:tcW w:w="1659" w:type="dxa"/>
          </w:tcPr>
          <w:p w14:paraId="099C879F">
            <w:pPr>
              <w:spacing w:after="0" w:line="240" w:lineRule="auto"/>
              <w:jc w:val="both"/>
              <w:rPr>
                <w:rFonts w:ascii="Times New Roman" w:hAnsi="Times New Roman" w:cs="Times New Roman"/>
              </w:rPr>
            </w:pPr>
            <w:r>
              <w:rPr>
                <w:rFonts w:ascii="Times New Roman" w:hAnsi="Times New Roman" w:cs="Times New Roman"/>
              </w:rPr>
              <w:t>5.2842</w:t>
            </w:r>
          </w:p>
        </w:tc>
        <w:tc>
          <w:tcPr>
            <w:tcW w:w="1659" w:type="dxa"/>
          </w:tcPr>
          <w:p w14:paraId="550B8F8A">
            <w:pPr>
              <w:spacing w:after="0" w:line="240" w:lineRule="auto"/>
              <w:jc w:val="both"/>
              <w:rPr>
                <w:rFonts w:ascii="Times New Roman" w:hAnsi="Times New Roman" w:cs="Times New Roman"/>
              </w:rPr>
            </w:pPr>
            <w:r>
              <w:rPr>
                <w:rFonts w:ascii="Times New Roman" w:hAnsi="Times New Roman" w:cs="Times New Roman"/>
              </w:rPr>
              <w:t>14.1763</w:t>
            </w:r>
          </w:p>
        </w:tc>
        <w:tc>
          <w:tcPr>
            <w:tcW w:w="1659" w:type="dxa"/>
          </w:tcPr>
          <w:p w14:paraId="378E847D">
            <w:pPr>
              <w:spacing w:after="0" w:line="240" w:lineRule="auto"/>
              <w:jc w:val="both"/>
              <w:rPr>
                <w:rFonts w:ascii="Times New Roman" w:hAnsi="Times New Roman" w:cs="Times New Roman"/>
              </w:rPr>
            </w:pPr>
            <w:r>
              <w:rPr>
                <w:rFonts w:ascii="Times New Roman" w:hAnsi="Times New Roman" w:cs="Times New Roman"/>
              </w:rPr>
              <w:t>5.1273</w:t>
            </w:r>
          </w:p>
        </w:tc>
        <w:tc>
          <w:tcPr>
            <w:tcW w:w="1660" w:type="dxa"/>
          </w:tcPr>
          <w:p w14:paraId="717D83B4">
            <w:pPr>
              <w:spacing w:after="0" w:line="240" w:lineRule="auto"/>
              <w:jc w:val="both"/>
              <w:rPr>
                <w:rFonts w:ascii="Times New Roman" w:hAnsi="Times New Roman" w:cs="Times New Roman"/>
              </w:rPr>
            </w:pPr>
            <w:r>
              <w:rPr>
                <w:rFonts w:ascii="Times New Roman" w:hAnsi="Times New Roman" w:cs="Times New Roman"/>
              </w:rPr>
              <w:t>13.5355</w:t>
            </w:r>
          </w:p>
        </w:tc>
      </w:tr>
      <w:tr w14:paraId="1AB00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61EF436">
            <w:pPr>
              <w:spacing w:after="0" w:line="240" w:lineRule="auto"/>
              <w:jc w:val="both"/>
              <w:rPr>
                <w:rFonts w:ascii="Times New Roman" w:hAnsi="Times New Roman" w:cs="Times New Roman"/>
              </w:rPr>
            </w:pPr>
            <w:r>
              <w:rPr>
                <w:rFonts w:ascii="Times New Roman" w:hAnsi="Times New Roman" w:cs="Times New Roman"/>
              </w:rPr>
              <w:t>42</w:t>
            </w:r>
          </w:p>
        </w:tc>
        <w:tc>
          <w:tcPr>
            <w:tcW w:w="1659" w:type="dxa"/>
          </w:tcPr>
          <w:p w14:paraId="4C8BBAEB">
            <w:pPr>
              <w:spacing w:after="0" w:line="240" w:lineRule="auto"/>
              <w:jc w:val="both"/>
              <w:rPr>
                <w:rFonts w:ascii="Times New Roman" w:hAnsi="Times New Roman" w:cs="Times New Roman"/>
              </w:rPr>
            </w:pPr>
            <w:r>
              <w:rPr>
                <w:rFonts w:ascii="Times New Roman" w:hAnsi="Times New Roman" w:cs="Times New Roman"/>
              </w:rPr>
              <w:t>5.2245</w:t>
            </w:r>
          </w:p>
        </w:tc>
        <w:tc>
          <w:tcPr>
            <w:tcW w:w="1659" w:type="dxa"/>
          </w:tcPr>
          <w:p w14:paraId="278EBA84">
            <w:pPr>
              <w:spacing w:after="0" w:line="240" w:lineRule="auto"/>
              <w:jc w:val="both"/>
              <w:rPr>
                <w:rFonts w:ascii="Times New Roman" w:hAnsi="Times New Roman" w:cs="Times New Roman"/>
              </w:rPr>
            </w:pPr>
            <w:r>
              <w:rPr>
                <w:rFonts w:ascii="Times New Roman" w:hAnsi="Times New Roman" w:cs="Times New Roman"/>
              </w:rPr>
              <w:t>14.1516</w:t>
            </w:r>
          </w:p>
        </w:tc>
        <w:tc>
          <w:tcPr>
            <w:tcW w:w="1659" w:type="dxa"/>
          </w:tcPr>
          <w:p w14:paraId="29961812">
            <w:pPr>
              <w:spacing w:after="0" w:line="240" w:lineRule="auto"/>
              <w:jc w:val="both"/>
              <w:rPr>
                <w:rFonts w:ascii="Times New Roman" w:hAnsi="Times New Roman" w:cs="Times New Roman"/>
              </w:rPr>
            </w:pPr>
            <w:r>
              <w:rPr>
                <w:rFonts w:ascii="Times New Roman" w:hAnsi="Times New Roman" w:cs="Times New Roman"/>
              </w:rPr>
              <w:t>5.0809</w:t>
            </w:r>
          </w:p>
        </w:tc>
        <w:tc>
          <w:tcPr>
            <w:tcW w:w="1660" w:type="dxa"/>
          </w:tcPr>
          <w:p w14:paraId="7E263444">
            <w:pPr>
              <w:spacing w:after="0" w:line="240" w:lineRule="auto"/>
              <w:jc w:val="both"/>
              <w:rPr>
                <w:rFonts w:ascii="Times New Roman" w:hAnsi="Times New Roman" w:cs="Times New Roman"/>
              </w:rPr>
            </w:pPr>
            <w:r>
              <w:rPr>
                <w:rFonts w:ascii="Times New Roman" w:hAnsi="Times New Roman" w:cs="Times New Roman"/>
              </w:rPr>
              <w:t>13.3769</w:t>
            </w:r>
          </w:p>
        </w:tc>
      </w:tr>
      <w:tr w14:paraId="00826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E97EB9D">
            <w:pPr>
              <w:spacing w:after="0" w:line="240" w:lineRule="auto"/>
              <w:jc w:val="both"/>
              <w:rPr>
                <w:rFonts w:ascii="Times New Roman" w:hAnsi="Times New Roman" w:cs="Times New Roman"/>
              </w:rPr>
            </w:pPr>
            <w:r>
              <w:rPr>
                <w:rFonts w:ascii="Times New Roman" w:hAnsi="Times New Roman" w:cs="Times New Roman"/>
              </w:rPr>
              <w:t>7</w:t>
            </w:r>
          </w:p>
        </w:tc>
        <w:tc>
          <w:tcPr>
            <w:tcW w:w="1659" w:type="dxa"/>
          </w:tcPr>
          <w:p w14:paraId="5536DDC5">
            <w:pPr>
              <w:spacing w:after="0" w:line="240" w:lineRule="auto"/>
              <w:jc w:val="both"/>
              <w:rPr>
                <w:rFonts w:ascii="Times New Roman" w:hAnsi="Times New Roman" w:cs="Times New Roman"/>
              </w:rPr>
            </w:pPr>
            <w:r>
              <w:rPr>
                <w:rFonts w:ascii="Times New Roman" w:hAnsi="Times New Roman" w:cs="Times New Roman"/>
              </w:rPr>
              <w:t>5.2622</w:t>
            </w:r>
          </w:p>
        </w:tc>
        <w:tc>
          <w:tcPr>
            <w:tcW w:w="1659" w:type="dxa"/>
          </w:tcPr>
          <w:p w14:paraId="34E6B299">
            <w:pPr>
              <w:spacing w:after="0" w:line="240" w:lineRule="auto"/>
              <w:jc w:val="both"/>
              <w:rPr>
                <w:rFonts w:ascii="Times New Roman" w:hAnsi="Times New Roman" w:cs="Times New Roman"/>
              </w:rPr>
            </w:pPr>
            <w:r>
              <w:rPr>
                <w:rFonts w:ascii="Times New Roman" w:hAnsi="Times New Roman" w:cs="Times New Roman"/>
              </w:rPr>
              <w:t>14.0869</w:t>
            </w:r>
          </w:p>
        </w:tc>
        <w:tc>
          <w:tcPr>
            <w:tcW w:w="1659" w:type="dxa"/>
          </w:tcPr>
          <w:p w14:paraId="115E5DDE">
            <w:pPr>
              <w:spacing w:after="0" w:line="240" w:lineRule="auto"/>
              <w:jc w:val="both"/>
              <w:rPr>
                <w:rFonts w:ascii="Times New Roman" w:hAnsi="Times New Roman" w:cs="Times New Roman"/>
              </w:rPr>
            </w:pPr>
            <w:r>
              <w:rPr>
                <w:rFonts w:ascii="Times New Roman" w:hAnsi="Times New Roman" w:cs="Times New Roman"/>
              </w:rPr>
              <w:t>5.0935</w:t>
            </w:r>
          </w:p>
        </w:tc>
        <w:tc>
          <w:tcPr>
            <w:tcW w:w="1660" w:type="dxa"/>
          </w:tcPr>
          <w:p w14:paraId="6C43CFA8">
            <w:pPr>
              <w:spacing w:after="0" w:line="240" w:lineRule="auto"/>
              <w:jc w:val="both"/>
              <w:rPr>
                <w:rFonts w:ascii="Times New Roman" w:hAnsi="Times New Roman" w:cs="Times New Roman"/>
              </w:rPr>
            </w:pPr>
            <w:r>
              <w:rPr>
                <w:rFonts w:ascii="Times New Roman" w:hAnsi="Times New Roman" w:cs="Times New Roman"/>
              </w:rPr>
              <w:t>13.3795</w:t>
            </w:r>
          </w:p>
        </w:tc>
      </w:tr>
    </w:tbl>
    <w:p w14:paraId="223D95D1">
      <w:pPr>
        <w:spacing w:after="0" w:line="240" w:lineRule="auto"/>
        <w:jc w:val="both"/>
        <w:rPr>
          <w:rFonts w:ascii="Times New Roman" w:hAnsi="Times New Roman" w:cs="Times New Roman"/>
        </w:rPr>
      </w:pPr>
      <w:r>
        <w:rPr>
          <w:rFonts w:ascii="Times New Roman" w:hAnsi="Times New Roman" w:cs="Times New Roman"/>
        </w:rPr>
        <w:t>Consistency. Every KAN seed beats every MLP seed on both MAE and RMSE. The worst KAN seed (MAE 5.1273) is lower than the best MLP seed (MAE 5.2245). The mean improvement is approximately 4.1× the pooled seed standard deviation for MAE and 6.9× for RMSE, so the direction is stable across the three seeds.</w:t>
      </w:r>
    </w:p>
    <w:p w14:paraId="0AB3E6BE">
      <w:pPr>
        <w:spacing w:after="0" w:line="240" w:lineRule="auto"/>
        <w:jc w:val="both"/>
        <w:rPr>
          <w:rFonts w:ascii="Times New Roman" w:hAnsi="Times New Roman" w:cs="Times New Roman"/>
        </w:rPr>
      </w:pPr>
      <w:r>
        <w:rPr>
          <w:rFonts w:ascii="Times New Roman" w:hAnsi="Times New Roman" w:cs="Times New Roman"/>
        </w:rPr>
        <w:t>Parameter efficiency. The KAN head is 11.2× the MLP head in head-level parameters (9.95× trainable), but only +0.086% of total model parameters. The accuracy gain is therefore obtained at negligible total-model cost.</w:t>
      </w:r>
    </w:p>
    <w:p w14:paraId="6A6232DF">
      <w:pPr>
        <w:spacing w:after="0" w:line="240" w:lineRule="auto"/>
        <w:jc w:val="both"/>
        <w:rPr>
          <w:rFonts w:ascii="Times New Roman" w:hAnsi="Times New Roman" w:cs="Times New Roman"/>
        </w:rPr>
      </w:pPr>
      <w:r>
        <w:rPr>
          <w:rFonts w:ascii="Times New Roman" w:hAnsi="Times New Roman" w:cs="Times New Roman"/>
        </w:rPr>
        <w:t>Convergence and runtime. Per-epoch time is essentially identical (~181 s). MLP stopped early in two runs (41 and 36 epochs), while KAN ran the full 50 epochs in all three seeds; KAN’s validation loss continued improving later, and total wall-clock time was slightly longer (~3 h vs. an average of ~2 h41m). No gradient anomalies were observed.</w:t>
      </w:r>
    </w:p>
    <w:p w14:paraId="7911714B">
      <w:pPr>
        <w:spacing w:after="0" w:line="240" w:lineRule="auto"/>
        <w:jc w:val="both"/>
        <w:rPr>
          <w:rFonts w:ascii="Times New Roman" w:hAnsi="Times New Roman" w:cs="Times New Roman"/>
        </w:rPr>
      </w:pPr>
      <w:r>
        <w:rPr>
          <w:rFonts w:ascii="Times New Roman" w:hAnsi="Times New Roman" w:cs="Times New Roman"/>
        </w:rPr>
        <w:t>Honest limitation. Robust MAPE on the |y|≥1 subset is slightly higher for KAN (80.2% vs. 77.4%). The gain is concentrated in absolute-error metrics (MAE/RMSE), not in relative error on small-magnitude samples. Because 41.3% of BIKE-Inflow de-normalized targets are below 1, naive MAPE is not reportable; the robust MAPE is reported as a secondary diagnostic only.</w:t>
      </w:r>
    </w:p>
    <w:p w14:paraId="13294647">
      <w:pPr>
        <w:numPr>
          <w:ilvl w:val="0"/>
          <w:numId w:val="8"/>
        </w:numPr>
        <w:spacing w:line="240" w:lineRule="auto"/>
        <w:jc w:val="both"/>
        <w:rPr>
          <w:rFonts w:ascii="Times New Roman" w:hAnsi="Times New Roman" w:cs="Times New Roman"/>
          <w:b/>
          <w:bCs/>
          <w:highlight w:val="yellow"/>
        </w:rPr>
      </w:pPr>
      <w:r>
        <w:rPr>
          <w:rFonts w:ascii="Times New Roman" w:hAnsi="Times New Roman" w:cs="Times New Roman"/>
          <w:b/>
          <w:bCs/>
          <w:highlight w:val="yellow"/>
        </w:rPr>
        <w:t>Limitations</w:t>
      </w:r>
    </w:p>
    <w:p w14:paraId="20F557B4">
      <w:pPr>
        <w:numPr>
          <w:ilvl w:val="1"/>
          <w:numId w:val="8"/>
        </w:numPr>
        <w:spacing w:line="240" w:lineRule="auto"/>
        <w:jc w:val="both"/>
        <w:rPr>
          <w:rFonts w:hint="eastAsia" w:ascii="Times New Roman" w:hAnsi="Times New Roman" w:cs="Times New Roman"/>
          <w:b/>
          <w:bCs/>
          <w:color w:val="FF0000"/>
          <w:highlight w:val="none"/>
          <w:lang w:val="en-US" w:eastAsia="zh-CN"/>
        </w:rPr>
      </w:pPr>
      <w:r>
        <w:rPr>
          <w:rFonts w:hint="eastAsia" w:ascii="Times New Roman" w:hAnsi="Times New Roman" w:cs="Times New Roman"/>
          <w:b/>
          <w:bCs/>
          <w:color w:val="FF0000"/>
          <w:highlight w:val="none"/>
          <w:lang w:val="en-US" w:eastAsia="zh-CN"/>
        </w:rPr>
        <w:t>Limitations on baseline Experiment (jinqi)</w:t>
      </w:r>
    </w:p>
    <w:p w14:paraId="0A9A989D">
      <w:pPr>
        <w:numPr>
          <w:numId w:val="0"/>
        </w:numPr>
        <w:spacing w:line="240" w:lineRule="auto"/>
        <w:ind w:leftChars="0"/>
        <w:jc w:val="both"/>
        <w:rPr>
          <w:rFonts w:hint="default" w:ascii="Times New Roman" w:hAnsi="Times New Roman" w:cs="Times New Roman"/>
          <w:b w:val="0"/>
          <w:bCs w:val="0"/>
          <w:highlight w:val="none"/>
          <w:lang w:val="en-US" w:eastAsia="zh-CN"/>
        </w:rPr>
      </w:pPr>
      <w:r>
        <w:rPr>
          <w:rFonts w:hint="default" w:ascii="Times New Roman" w:hAnsi="Times New Roman" w:cs="Times New Roman"/>
          <w:b w:val="0"/>
          <w:bCs w:val="0"/>
          <w:highlight w:val="none"/>
          <w:lang w:val="en-US" w:eastAsia="zh-CN"/>
        </w:rPr>
        <w:t>The baseline was trained with three random seeds on each of the five datasets. However, three runs cannot capture all variability arising from different seeds. Compared with the authors’ implementation, this reproduction modifies the LoRA training scope, spatial branches, and some training settings. Since these changes were not tested individually, their respective contributions to the performance differences from the paper remain unclear.</w:t>
      </w:r>
    </w:p>
    <w:p w14:paraId="7FA36141">
      <w:pPr>
        <w:spacing w:line="240" w:lineRule="auto"/>
        <w:jc w:val="both"/>
        <w:rPr>
          <w:rFonts w:ascii="Times New Roman" w:hAnsi="Times New Roman" w:cs="Times New Roman"/>
          <w:b/>
          <w:bCs/>
        </w:rPr>
      </w:pPr>
      <w:r>
        <w:rPr>
          <w:rFonts w:ascii="Times New Roman" w:hAnsi="Times New Roman" w:cs="Times New Roman"/>
          <w:b/>
          <w:bCs/>
        </w:rPr>
        <w:t>10. Agent-Use Reflection</w:t>
      </w:r>
    </w:p>
    <w:p w14:paraId="4DBF28D6">
      <w:pPr>
        <w:spacing w:line="240" w:lineRule="auto"/>
        <w:jc w:val="both"/>
        <w:rPr>
          <w:rFonts w:ascii="Times New Roman" w:hAnsi="Times New Roman" w:cs="Times New Roman"/>
        </w:rPr>
      </w:pPr>
      <w:bookmarkStart w:id="1" w:name="OLE_LINK2"/>
      <w:r>
        <w:rPr>
          <w:rFonts w:ascii="Times New Roman" w:hAnsi="Times New Roman" w:cs="Times New Roman"/>
        </w:rPr>
        <w:t>The project used coding agents materially across the three required phases. The complete ledger is in AI_USAGE.md; sanitized excerpts are in logs/agents/.</w:t>
      </w:r>
    </w:p>
    <w:p w14:paraId="0C7EA45A">
      <w:pPr>
        <w:spacing w:line="240" w:lineRule="auto"/>
        <w:jc w:val="both"/>
        <w:rPr>
          <w:rFonts w:ascii="Times New Roman" w:hAnsi="Times New Roman" w:cs="Times New Roman"/>
        </w:rPr>
      </w:pPr>
      <w:r>
        <w:rPr>
          <w:rFonts w:hint="eastAsia" w:ascii="Times New Roman" w:hAnsi="Times New Roman" w:cs="Times New Roman"/>
          <w:color w:val="FF0000"/>
          <w:lang w:val="en-US" w:eastAsia="zh-CN"/>
        </w:rPr>
        <w:t>For baseline Experiment(jinqi):</w:t>
      </w:r>
      <w:r>
        <w:rPr>
          <w:rFonts w:hint="eastAsia" w:ascii="Times New Roman" w:hAnsi="Times New Roman" w:cs="Times New Roman"/>
          <w:lang w:val="en-US" w:eastAsia="zh-CN"/>
        </w:rPr>
        <w:t xml:space="preserve"> </w:t>
      </w:r>
      <w:r>
        <w:rPr>
          <w:rFonts w:hint="eastAsia" w:ascii="Times New Roman" w:hAnsi="Times New Roman" w:cs="Times New Roman"/>
        </w:rPr>
        <w:t>AI primarily assisted with dataset adaptation, automated experiment logging, debugging, and result aggregation for the baseline reproduction. Human work included running experiments, reviewing code changes, and checking experimental outputs against the summaries. AI improved implementation and reporting efficiency, but its explanations of configuration sources and performance differences required human verification against the paper, the authors’ code, and actual experiment records before being used in the report.</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p>
    <w:bookmarkEnd w:id="1"/>
    <w:p w14:paraId="25D1DAFC">
      <w:pPr>
        <w:jc w:val="both"/>
        <w:rPr>
          <w:rFonts w:ascii="Times New Roman" w:hAnsi="Times New Roman" w:cs="Times New Roman"/>
          <w:b/>
          <w:bCs/>
        </w:rPr>
      </w:pPr>
      <w:r>
        <w:rPr>
          <w:rFonts w:ascii="Times New Roman" w:hAnsi="Times New Roman" w:cs="Times New Roman"/>
          <w:b/>
          <w:bCs/>
        </w:rPr>
        <w:t>11. References</w:t>
      </w:r>
    </w:p>
    <w:p w14:paraId="0B1E0DE7">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 Jiawen Chen, Qi Shao, Duxin Chen, and Wenwu Yu. 2025. Decoupling Spatio-Temporal Prediction: When Lightweight Large Models Meet Adaptive Hypergraphs. In Proceedings of the 31st ACM SIGKDD Conference on Knowledge Discovery and Data Mining (KDD '25). Association for Computing Machinery, New York, NY, USA, 1–12. https://doi.org/10.1145/3711896.3736904</w:t>
      </w:r>
    </w:p>
    <w:p w14:paraId="1CC60A69">
      <w:pPr>
        <w:spacing w:after="0" w:line="240" w:lineRule="auto"/>
        <w:jc w:val="both"/>
        <w:rPr>
          <w:rFonts w:ascii="Times New Roman" w:hAnsi="Times New Roman" w:cs="Times New Roman"/>
          <w:sz w:val="20"/>
          <w:szCs w:val="20"/>
        </w:rPr>
      </w:pPr>
      <w:r>
        <w:rPr>
          <w:rFonts w:ascii="Times New Roman" w:hAnsi="Times New Roman" w:cs="Times New Roman"/>
          <w:sz w:val="20"/>
          <w:szCs w:val="20"/>
        </w:rPr>
        <w:t>[2] Ziming Liu, Yixuan Wang, Sachin Vaidya, Fabian Ruehle, James Halverson, Marin Soljačić, Thomas Y. Hou, and Max Tegmark. 2025. KAN: Kolmogorov–Arnold Networks. In The Thirteenth International Conference on Learning Representations (ICLR 2025). OpenReview. https://openreview.net/forum?id=Ozo7qJ5vZi</w:t>
      </w:r>
    </w:p>
    <w:p w14:paraId="0230300D">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[3] Jacob Devlin, Ming-Wei Chang, Kenton Lee, and Kristina Toutanova. 2019. BERT: Pre-training of Deep Bidirectional Transformers for Language Understanding. In Proceedings of the 2019 Conference of the North American Chapter of the Association for Computational Linguistics: Human Language Technologies, Volume 1 (Long and Short Papers). Association for Computational Linguistics, Minneapolis, Minnesota, 4171–4186.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HYPERLINK "https://doi.org/10.18653/v1/N19-1423" </w:instrText>
      </w:r>
      <w:r>
        <w:rPr>
          <w:rFonts w:ascii="Times New Roman" w:hAnsi="Times New Roman" w:cs="Times New Roman"/>
          <w:sz w:val="20"/>
          <w:szCs w:val="20"/>
        </w:rPr>
        <w:fldChar w:fldCharType="separate"/>
      </w:r>
      <w:r>
        <w:rPr>
          <w:rStyle w:val="20"/>
          <w:rFonts w:ascii="Times New Roman" w:hAnsi="Times New Roman" w:cs="Times New Roman"/>
          <w:sz w:val="20"/>
          <w:szCs w:val="20"/>
        </w:rPr>
        <w:t>https://doi.org/10.18653/v1/N19-1423</w:t>
      </w:r>
      <w:r>
        <w:rPr>
          <w:rFonts w:ascii="Times New Roman" w:hAnsi="Times New Roman" w:cs="Times New Roman"/>
          <w:sz w:val="20"/>
          <w:szCs w:val="20"/>
        </w:rPr>
        <w:fldChar w:fldCharType="end"/>
      </w:r>
    </w:p>
    <w:p w14:paraId="7E96CFC2">
      <w:pPr>
        <w:spacing w:after="0" w:line="240" w:lineRule="auto"/>
        <w:jc w:val="both"/>
        <w:rPr>
          <w:rFonts w:ascii="Times New Roman" w:hAnsi="Times New Roman" w:cs="Times New Roman"/>
          <w:sz w:val="20"/>
          <w:szCs w:val="20"/>
        </w:rPr>
      </w:pPr>
    </w:p>
    <w:p w14:paraId="43A5456F">
      <w:pPr>
        <w:spacing w:after="0" w:line="240" w:lineRule="auto"/>
        <w:jc w:val="both"/>
        <w:rPr>
          <w:rFonts w:ascii="Times New Roman" w:hAnsi="Times New Roman" w:cs="Times New Roman"/>
          <w:sz w:val="20"/>
          <w:szCs w:val="20"/>
        </w:rPr>
      </w:pPr>
    </w:p>
    <w:p w14:paraId="41C1A6F9">
      <w:pPr>
        <w:spacing w:after="0" w:line="240" w:lineRule="auto"/>
        <w:jc w:val="both"/>
        <w:rPr>
          <w:rFonts w:ascii="Times New Roman" w:hAnsi="Times New Roman" w:cs="Times New Roman"/>
          <w:sz w:val="20"/>
          <w:szCs w:val="20"/>
        </w:rPr>
      </w:pPr>
    </w:p>
    <w:p w14:paraId="1B184E27">
      <w:pPr>
        <w:spacing w:after="0" w:line="240" w:lineRule="auto"/>
        <w:jc w:val="both"/>
        <w:rPr>
          <w:rFonts w:ascii="Times New Roman" w:hAnsi="Times New Roman" w:cs="Times New Roman"/>
          <w:sz w:val="20"/>
          <w:szCs w:val="20"/>
        </w:rPr>
      </w:pPr>
    </w:p>
    <w:p w14:paraId="025641F8">
      <w:pPr>
        <w:spacing w:after="0" w:line="240" w:lineRule="auto"/>
        <w:jc w:val="both"/>
        <w:rPr>
          <w:rFonts w:ascii="Times New Roman" w:hAnsi="Times New Roman" w:cs="Times New Roman"/>
          <w:sz w:val="20"/>
          <w:szCs w:val="20"/>
        </w:rPr>
      </w:pPr>
    </w:p>
    <w:p w14:paraId="201317E6">
      <w:pPr>
        <w:spacing w:after="0" w:line="240" w:lineRule="auto"/>
        <w:jc w:val="both"/>
        <w:rPr>
          <w:rFonts w:ascii="Times New Roman" w:hAnsi="Times New Roman" w:cs="Times New Roman"/>
          <w:sz w:val="20"/>
          <w:szCs w:val="20"/>
        </w:rPr>
      </w:pPr>
    </w:p>
    <w:p w14:paraId="536E0F88">
      <w:pPr>
        <w:spacing w:after="0" w:line="240" w:lineRule="auto"/>
        <w:jc w:val="both"/>
        <w:rPr>
          <w:rFonts w:ascii="Times New Roman" w:hAnsi="Times New Roman" w:cs="Times New Roman"/>
          <w:sz w:val="20"/>
          <w:szCs w:val="20"/>
        </w:rPr>
      </w:pPr>
      <w:bookmarkStart w:id="2" w:name="_GoBack"/>
      <w:bookmarkEnd w:id="2"/>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5355"/>
      </w:tblGrid>
      <w:tr w14:paraId="7441E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BE16DBD">
            <w:pPr>
              <w:keepNext w:val="0"/>
              <w:keepLines w:val="0"/>
              <w:widowControl/>
              <w:suppressLineNumbers w:val="0"/>
              <w:jc w:val="center"/>
              <w:rPr>
                <w:b/>
                <w:bCs/>
              </w:rPr>
            </w:pPr>
            <w:r>
              <w:rPr>
                <w:rFonts w:ascii="宋体" w:hAnsi="宋体" w:eastAsia="宋体" w:cs="宋体"/>
                <w:b/>
                <w:bCs/>
                <w:kern w:val="0"/>
                <w:sz w:val="24"/>
                <w:szCs w:val="24"/>
                <w:lang w:val="en-US" w:eastAsia="zh-CN" w:bidi="ar"/>
                <w14:ligatures w14:val="standardContextual"/>
              </w:rPr>
              <w:t>部分</w:t>
            </w:r>
          </w:p>
        </w:tc>
        <w:tc>
          <w:tcPr>
            <w:tcW w:w="0" w:type="auto"/>
            <w:shd w:val="clear"/>
            <w:vAlign w:val="center"/>
          </w:tcPr>
          <w:p w14:paraId="488DE1E7">
            <w:pPr>
              <w:keepNext w:val="0"/>
              <w:keepLines w:val="0"/>
              <w:widowControl/>
              <w:suppressLineNumbers w:val="0"/>
              <w:jc w:val="center"/>
              <w:rPr>
                <w:b/>
                <w:bCs/>
              </w:rPr>
            </w:pPr>
            <w:r>
              <w:rPr>
                <w:rFonts w:ascii="宋体" w:hAnsi="宋体" w:eastAsia="宋体" w:cs="宋体"/>
                <w:b/>
                <w:bCs/>
                <w:kern w:val="0"/>
                <w:sz w:val="24"/>
                <w:szCs w:val="24"/>
                <w:lang w:val="en-US" w:eastAsia="zh-CN" w:bidi="ar"/>
                <w14:ligatures w14:val="standardContextual"/>
              </w:rPr>
              <w:t>要写什么</w:t>
            </w:r>
          </w:p>
        </w:tc>
      </w:tr>
      <w:tr w14:paraId="36D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15EC0B">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目标声明</w:t>
            </w:r>
          </w:p>
        </w:tc>
        <w:tc>
          <w:tcPr>
            <w:tcW w:w="0" w:type="auto"/>
            <w:shd w:val="clear"/>
            <w:vAlign w:val="center"/>
          </w:tcPr>
          <w:p w14:paraId="4C9ED49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复现论文中的哪个结论、表格或实验</w:t>
            </w:r>
          </w:p>
        </w:tc>
      </w:tr>
      <w:tr w14:paraId="0CE99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78E88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论文与方法概述</w:t>
            </w:r>
          </w:p>
        </w:tc>
        <w:tc>
          <w:tcPr>
            <w:tcW w:w="0" w:type="auto"/>
            <w:shd w:val="clear"/>
            <w:vAlign w:val="center"/>
          </w:tcPr>
          <w:p w14:paraId="34613D0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原方法的核心结构和原理</w:t>
            </w:r>
          </w:p>
        </w:tc>
      </w:tr>
      <w:tr w14:paraId="73044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12572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与论文的偏差</w:t>
            </w:r>
          </w:p>
        </w:tc>
        <w:tc>
          <w:tcPr>
            <w:tcW w:w="0" w:type="auto"/>
            <w:shd w:val="clear"/>
            <w:vAlign w:val="center"/>
          </w:tcPr>
          <w:p w14:paraId="7B4E0A1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实现、数据、配置、训练预算等差异</w:t>
            </w:r>
          </w:p>
        </w:tc>
      </w:tr>
      <w:tr w14:paraId="1FC33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6BBE0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实验协议</w:t>
            </w:r>
          </w:p>
        </w:tc>
        <w:tc>
          <w:tcPr>
            <w:tcW w:w="0" w:type="auto"/>
            <w:shd w:val="clear"/>
            <w:vAlign w:val="center"/>
          </w:tcPr>
          <w:p w14:paraId="7BAF014C">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数据划分、预处理、指标、基线、种子和计算预算</w:t>
            </w:r>
          </w:p>
        </w:tc>
      </w:tr>
      <w:tr w14:paraId="2713C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84F284">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复现结果</w:t>
            </w:r>
          </w:p>
        </w:tc>
        <w:tc>
          <w:tcPr>
            <w:tcW w:w="0" w:type="auto"/>
            <w:shd w:val="clear"/>
            <w:vAlign w:val="center"/>
          </w:tcPr>
          <w:p w14:paraId="2EB13CC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与论文对照，报告重复实验及不确定性</w:t>
            </w:r>
          </w:p>
        </w:tc>
      </w:tr>
      <w:tr w14:paraId="75DF6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C84532">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差异诊断</w:t>
            </w:r>
          </w:p>
        </w:tc>
        <w:tc>
          <w:tcPr>
            <w:tcW w:w="0" w:type="auto"/>
            <w:shd w:val="clear"/>
            <w:vAlign w:val="center"/>
          </w:tcPr>
          <w:p w14:paraId="564FAC9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分析一致、差异或失败的原因</w:t>
            </w:r>
          </w:p>
        </w:tc>
      </w:tr>
      <w:tr w14:paraId="2867C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1EB18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改进假设</w:t>
            </w:r>
          </w:p>
        </w:tc>
        <w:tc>
          <w:tcPr>
            <w:tcW w:w="0" w:type="auto"/>
            <w:shd w:val="clear"/>
            <w:vAlign w:val="center"/>
          </w:tcPr>
          <w:p w14:paraId="65F0D855">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提出有依据、可被实验检验的假设</w:t>
            </w:r>
          </w:p>
        </w:tc>
      </w:tr>
      <w:tr w14:paraId="12206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8B2335">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受控评估</w:t>
            </w:r>
          </w:p>
        </w:tc>
        <w:tc>
          <w:tcPr>
            <w:tcW w:w="0" w:type="auto"/>
            <w:shd w:val="clear"/>
            <w:vAlign w:val="center"/>
          </w:tcPr>
          <w:p w14:paraId="28A01C1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公平的基线对比及改进实验</w:t>
            </w:r>
          </w:p>
        </w:tc>
      </w:tr>
      <w:tr w14:paraId="35F41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6F3B2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消融实验</w:t>
            </w:r>
          </w:p>
        </w:tc>
        <w:tc>
          <w:tcPr>
            <w:tcW w:w="0" w:type="auto"/>
            <w:shd w:val="clear"/>
            <w:vAlign w:val="center"/>
          </w:tcPr>
          <w:p w14:paraId="6C5D08B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验证各项改动的作用</w:t>
            </w:r>
          </w:p>
        </w:tc>
      </w:tr>
      <w:tr w14:paraId="0A52B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B3814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局限</w:t>
            </w:r>
          </w:p>
        </w:tc>
        <w:tc>
          <w:tcPr>
            <w:tcW w:w="0" w:type="auto"/>
            <w:shd w:val="clear"/>
            <w:vAlign w:val="center"/>
          </w:tcPr>
          <w:p w14:paraId="01D7856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保留负面结果，说明证据不能支持什么</w:t>
            </w:r>
          </w:p>
        </w:tc>
      </w:tr>
      <w:tr w14:paraId="2DB32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83D7B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AI 使用反思</w:t>
            </w:r>
          </w:p>
        </w:tc>
        <w:tc>
          <w:tcPr>
            <w:tcW w:w="0" w:type="auto"/>
            <w:shd w:val="clear"/>
            <w:vAlign w:val="center"/>
          </w:tcPr>
          <w:p w14:paraId="55280B9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AI 做了什么，人如何验证和决定</w:t>
            </w:r>
          </w:p>
        </w:tc>
      </w:tr>
      <w:tr w14:paraId="0B3AC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DE84C0">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参考文献</w:t>
            </w:r>
          </w:p>
        </w:tc>
        <w:tc>
          <w:tcPr>
            <w:tcW w:w="0" w:type="auto"/>
            <w:shd w:val="clear"/>
            <w:vAlign w:val="center"/>
          </w:tcPr>
          <w:p w14:paraId="0707DB3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正确引用论文、代码、数据及模型来源</w:t>
            </w:r>
          </w:p>
        </w:tc>
      </w:tr>
    </w:tbl>
    <w:p w14:paraId="4B458B10">
      <w:pPr>
        <w:spacing w:after="0" w:line="240" w:lineRule="auto"/>
        <w:jc w:val="both"/>
        <w:rPr>
          <w:rFonts w:ascii="Times New Roman" w:hAnsi="Times New Roman" w:cs="Times New Roman"/>
          <w:sz w:val="20"/>
          <w:szCs w:val="20"/>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AEAC8"/>
    <w:multiLevelType w:val="multilevel"/>
    <w:tmpl w:val="065AEAC8"/>
    <w:lvl w:ilvl="0" w:tentative="0">
      <w:start w:val="9"/>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192D0677"/>
    <w:multiLevelType w:val="multilevel"/>
    <w:tmpl w:val="192D067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30376C68"/>
    <w:multiLevelType w:val="multilevel"/>
    <w:tmpl w:val="30376C6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3181504E"/>
    <w:multiLevelType w:val="multilevel"/>
    <w:tmpl w:val="3181504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31BC4187"/>
    <w:multiLevelType w:val="multilevel"/>
    <w:tmpl w:val="31BC4187"/>
    <w:lvl w:ilvl="0" w:tentative="0">
      <w:start w:val="1"/>
      <w:numFmt w:val="upperRoman"/>
      <w:pStyle w:val="43"/>
      <w:lvlText w:val="TABLE %1"/>
      <w:lvlJc w:val="left"/>
      <w:pPr>
        <w:ind w:left="440" w:hanging="440"/>
      </w:pPr>
      <w:rPr>
        <w:rFonts w:hint="default" w:ascii="Times New Roman" w:hAnsi="Times New Roman" w:cs="Times New Roman"/>
        <w:b w:val="0"/>
        <w:bCs w:val="0"/>
        <w:i w:val="0"/>
        <w:iCs w:val="0"/>
        <w:sz w:val="20"/>
        <w:szCs w:val="2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4E38F98B"/>
    <w:multiLevelType w:val="singleLevel"/>
    <w:tmpl w:val="4E38F98B"/>
    <w:lvl w:ilvl="0" w:tentative="0">
      <w:start w:val="6"/>
      <w:numFmt w:val="decimal"/>
      <w:suff w:val="space"/>
      <w:lvlText w:val="%1."/>
      <w:lvlJc w:val="left"/>
    </w:lvl>
  </w:abstractNum>
  <w:abstractNum w:abstractNumId="6">
    <w:nsid w:val="5D6E0949"/>
    <w:multiLevelType w:val="multilevel"/>
    <w:tmpl w:val="5D6E0949"/>
    <w:lvl w:ilvl="0" w:tentative="0">
      <w:start w:val="1"/>
      <w:numFmt w:val="decimal"/>
      <w:lvlText w:val="%1."/>
      <w:lvlJc w:val="left"/>
      <w:pPr>
        <w:ind w:left="360" w:hanging="360"/>
      </w:pPr>
      <w:rPr>
        <w:rFonts w:hint="default"/>
      </w:rPr>
    </w:lvl>
    <w:lvl w:ilvl="1" w:tentative="0">
      <w:start w:val="2"/>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7">
    <w:nsid w:val="62AA63D2"/>
    <w:multiLevelType w:val="multilevel"/>
    <w:tmpl w:val="62AA63D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4"/>
  </w:num>
  <w:num w:numId="2">
    <w:abstractNumId w:val="6"/>
  </w:num>
  <w:num w:numId="3">
    <w:abstractNumId w:val="7"/>
  </w:num>
  <w:num w:numId="4">
    <w:abstractNumId w:val="5"/>
  </w:num>
  <w:num w:numId="5">
    <w:abstractNumId w:val="3"/>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017"/>
    <w:rsid w:val="00052969"/>
    <w:rsid w:val="002D529F"/>
    <w:rsid w:val="003558B7"/>
    <w:rsid w:val="00364FBC"/>
    <w:rsid w:val="009124DF"/>
    <w:rsid w:val="00986035"/>
    <w:rsid w:val="00A5340B"/>
    <w:rsid w:val="00AC31E7"/>
    <w:rsid w:val="00B77DDD"/>
    <w:rsid w:val="00BA690F"/>
    <w:rsid w:val="00DA1017"/>
    <w:rsid w:val="00E241DE"/>
    <w:rsid w:val="01035F1D"/>
    <w:rsid w:val="20E1211D"/>
    <w:rsid w:val="431A053D"/>
    <w:rsid w:val="489B3852"/>
    <w:rsid w:val="50645A11"/>
    <w:rsid w:val="61371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2"/>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3"/>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4"/>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5"/>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6"/>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7"/>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8"/>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link w:val="42"/>
    <w:unhideWhenUsed/>
    <w:uiPriority w:val="99"/>
    <w:pPr>
      <w:tabs>
        <w:tab w:val="center" w:pos="4153"/>
        <w:tab w:val="right" w:pos="8306"/>
      </w:tabs>
      <w:snapToGrid w:val="0"/>
      <w:spacing w:line="240" w:lineRule="auto"/>
    </w:pPr>
    <w:rPr>
      <w:sz w:val="18"/>
      <w:szCs w:val="18"/>
    </w:rPr>
  </w:style>
  <w:style w:type="paragraph" w:styleId="12">
    <w:name w:val="header"/>
    <w:basedOn w:val="1"/>
    <w:link w:val="41"/>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32"/>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31"/>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7">
    <w:name w:val="Table Grid"/>
    <w:basedOn w:val="1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Hyperlink"/>
    <w:basedOn w:val="18"/>
    <w:unhideWhenUsed/>
    <w:uiPriority w:val="99"/>
    <w:rPr>
      <w:color w:val="0563C1" w:themeColor="hyperlink"/>
      <w:u w:val="single"/>
      <w14:textFill>
        <w14:solidFill>
          <w14:schemeClr w14:val="hlink"/>
        </w14:solidFill>
      </w14:textFill>
    </w:rPr>
  </w:style>
  <w:style w:type="character" w:styleId="21">
    <w:name w:val="HTML Code"/>
    <w:basedOn w:val="18"/>
    <w:semiHidden/>
    <w:unhideWhenUsed/>
    <w:qFormat/>
    <w:uiPriority w:val="99"/>
    <w:rPr>
      <w:rFonts w:ascii="宋体" w:hAnsi="宋体" w:eastAsia="宋体" w:cs="宋体"/>
      <w:sz w:val="24"/>
      <w:szCs w:val="24"/>
    </w:rPr>
  </w:style>
  <w:style w:type="character" w:customStyle="1" w:styleId="22">
    <w:name w:val="标题 1 字符"/>
    <w:basedOn w:val="18"/>
    <w:link w:val="2"/>
    <w:uiPriority w:val="9"/>
    <w:rPr>
      <w:rFonts w:asciiTheme="majorHAnsi" w:hAnsiTheme="majorHAnsi" w:eastAsiaTheme="majorEastAsia" w:cstheme="majorBidi"/>
      <w:color w:val="2F5597" w:themeColor="accent1" w:themeShade="BF"/>
      <w:sz w:val="48"/>
      <w:szCs w:val="48"/>
    </w:rPr>
  </w:style>
  <w:style w:type="character" w:customStyle="1" w:styleId="23">
    <w:name w:val="标题 2 字符"/>
    <w:basedOn w:val="18"/>
    <w:link w:val="3"/>
    <w:uiPriority w:val="9"/>
    <w:rPr>
      <w:rFonts w:asciiTheme="majorHAnsi" w:hAnsiTheme="majorHAnsi" w:eastAsiaTheme="majorEastAsia" w:cstheme="majorBidi"/>
      <w:color w:val="2F5597" w:themeColor="accent1" w:themeShade="BF"/>
      <w:sz w:val="40"/>
      <w:szCs w:val="40"/>
    </w:rPr>
  </w:style>
  <w:style w:type="character" w:customStyle="1" w:styleId="24">
    <w:name w:val="标题 3 字符"/>
    <w:basedOn w:val="18"/>
    <w:link w:val="4"/>
    <w:semiHidden/>
    <w:uiPriority w:val="9"/>
    <w:rPr>
      <w:rFonts w:asciiTheme="majorHAnsi" w:hAnsiTheme="majorHAnsi" w:eastAsiaTheme="majorEastAsia" w:cstheme="majorBidi"/>
      <w:color w:val="2F5597" w:themeColor="accent1" w:themeShade="BF"/>
      <w:sz w:val="32"/>
      <w:szCs w:val="32"/>
    </w:rPr>
  </w:style>
  <w:style w:type="character" w:customStyle="1" w:styleId="25">
    <w:name w:val="标题 4 字符"/>
    <w:basedOn w:val="18"/>
    <w:link w:val="5"/>
    <w:semiHidden/>
    <w:uiPriority w:val="9"/>
    <w:rPr>
      <w:rFonts w:cstheme="majorBidi"/>
      <w:color w:val="2F5597" w:themeColor="accent1" w:themeShade="BF"/>
      <w:sz w:val="28"/>
      <w:szCs w:val="28"/>
    </w:rPr>
  </w:style>
  <w:style w:type="character" w:customStyle="1" w:styleId="26">
    <w:name w:val="标题 5 字符"/>
    <w:basedOn w:val="18"/>
    <w:link w:val="6"/>
    <w:semiHidden/>
    <w:uiPriority w:val="9"/>
    <w:rPr>
      <w:rFonts w:cstheme="majorBidi"/>
      <w:color w:val="2F5597" w:themeColor="accent1" w:themeShade="BF"/>
      <w:sz w:val="24"/>
    </w:rPr>
  </w:style>
  <w:style w:type="character" w:customStyle="1" w:styleId="27">
    <w:name w:val="标题 6 字符"/>
    <w:basedOn w:val="18"/>
    <w:link w:val="7"/>
    <w:semiHidden/>
    <w:uiPriority w:val="9"/>
    <w:rPr>
      <w:rFonts w:cstheme="majorBidi"/>
      <w:b/>
      <w:bCs/>
      <w:color w:val="2F5597" w:themeColor="accent1" w:themeShade="BF"/>
    </w:rPr>
  </w:style>
  <w:style w:type="character" w:customStyle="1" w:styleId="28">
    <w:name w:val="标题 7 字符"/>
    <w:basedOn w:val="18"/>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9">
    <w:name w:val="标题 8 字符"/>
    <w:basedOn w:val="18"/>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0">
    <w:name w:val="标题 9 字符"/>
    <w:basedOn w:val="18"/>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标题 字符"/>
    <w:basedOn w:val="18"/>
    <w:link w:val="15"/>
    <w:uiPriority w:val="10"/>
    <w:rPr>
      <w:rFonts w:asciiTheme="majorHAnsi" w:hAnsiTheme="majorHAnsi" w:eastAsiaTheme="majorEastAsia" w:cstheme="majorBidi"/>
      <w:spacing w:val="-10"/>
      <w:kern w:val="28"/>
      <w:sz w:val="56"/>
      <w:szCs w:val="56"/>
    </w:rPr>
  </w:style>
  <w:style w:type="character" w:customStyle="1" w:styleId="32">
    <w:name w:val="副标题 字符"/>
    <w:basedOn w:val="18"/>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18"/>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8"/>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明显引用 字符"/>
    <w:basedOn w:val="18"/>
    <w:link w:val="37"/>
    <w:uiPriority w:val="30"/>
    <w:rPr>
      <w:i/>
      <w:iCs/>
      <w:color w:val="2F5597" w:themeColor="accent1" w:themeShade="BF"/>
    </w:rPr>
  </w:style>
  <w:style w:type="character" w:customStyle="1" w:styleId="39">
    <w:name w:val="Intense Reference"/>
    <w:basedOn w:val="18"/>
    <w:qFormat/>
    <w:uiPriority w:val="32"/>
    <w:rPr>
      <w:b/>
      <w:bCs/>
      <w:smallCaps/>
      <w:color w:val="2F5597" w:themeColor="accent1" w:themeShade="BF"/>
      <w:spacing w:val="5"/>
    </w:rPr>
  </w:style>
  <w:style w:type="character" w:customStyle="1" w:styleId="40">
    <w:name w:val="Unresolved Mention"/>
    <w:basedOn w:val="18"/>
    <w:semiHidden/>
    <w:unhideWhenUsed/>
    <w:uiPriority w:val="99"/>
    <w:rPr>
      <w:color w:val="605E5C"/>
      <w:shd w:val="clear" w:color="auto" w:fill="E1DFDD"/>
    </w:rPr>
  </w:style>
  <w:style w:type="character" w:customStyle="1" w:styleId="41">
    <w:name w:val="页眉 字符"/>
    <w:basedOn w:val="18"/>
    <w:link w:val="12"/>
    <w:uiPriority w:val="99"/>
    <w:rPr>
      <w:sz w:val="18"/>
      <w:szCs w:val="18"/>
    </w:rPr>
  </w:style>
  <w:style w:type="character" w:customStyle="1" w:styleId="42">
    <w:name w:val="页脚 字符"/>
    <w:basedOn w:val="18"/>
    <w:link w:val="11"/>
    <w:uiPriority w:val="99"/>
    <w:rPr>
      <w:sz w:val="18"/>
      <w:szCs w:val="18"/>
    </w:rPr>
  </w:style>
  <w:style w:type="paragraph" w:customStyle="1" w:styleId="43">
    <w:name w:val="table head"/>
    <w:basedOn w:val="1"/>
    <w:qFormat/>
    <w:uiPriority w:val="0"/>
    <w:pPr>
      <w:numPr>
        <w:ilvl w:val="0"/>
        <w:numId w:val="1"/>
      </w:numPr>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2121</Words>
  <Characters>12483</Characters>
  <Lines>251</Lines>
  <Paragraphs>133</Paragraphs>
  <TotalTime>26</TotalTime>
  <ScaleCrop>false</ScaleCrop>
  <LinksUpToDate>false</LinksUpToDate>
  <CharactersWithSpaces>14385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2026-10-22T04:37:00Z</dcterms:created>
  <dc:creator>Drizzle Kuo</dc:creator>
  <cp:lastModifiedBy>Alex</cp:lastModifiedBy>
  <dcterms:modified xsi:type="dcterms:W3CDTF">2026-10-27T08:38:24Z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eyJoZGlkIjoiOTczYzk3NzRhNTliNGUxYjVlNDI0OTc0OTgwMzY3MzIiLCJ1c2VySWQiOiI3MDE3MDA3NDAifQ==</vt:lpwstr>
  </property>
  <property fmtid="{D5CDD505-2E9C-101B-9397-08002B2CF9AE}" pid="3" name="KSOProductBuildVer">
    <vt:lpwstr>2052-12.1.0.29161</vt:lpwstr>
  </property>
  <property fmtid="{D5CDD505-2E9C-101B-9397-08002B2CF9AE}" pid="4" name="ICV">
    <vt:lpwstr>F5FE40C7687B4E0AA1FB69E34E930563_12</vt:lpwstr>
  </property>
</Properties>
</file>