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0"/>
      </w:pPr>
      <w:r>
        <w:t xml:space="preserve"/>
      </w:r>
    </w:p>
    <w:p>
      <w:pPr>
        <w:jc w:val="center"/>
        <w:spacing w:before="120" w:after="360"/>
      </w:pPr>
      <w:r>
        <w:drawing>
          <wp:inline xmlns:wp="http://schemas.openxmlformats.org/drawingml/2006/wordprocessingDrawing" distT="0" distB="0" distL="0" distR="0">
            <wp:extent cx="3200400" cy="1600200"/>
            <wp:effectExtent l="0" t="0" r="0" b="0"/>
            <wp:docPr id="1" name="D-HUB Group Logo" descr="D-HUB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xmlns:r="http://schemas.openxmlformats.org/officeDocument/2006/relationships" r:embed="rIdLogo"/>
                    <a:stretch>
                      <a:fillRect/>
                    </a:stretch>
                  </pic:blipFill>
                  <pic:spPr>
                    <a:xfrm>
                      <a:off x="0" y="0"/>
                      <a:ext cx="3200400" cy="1600200"/>
                    </a:xfrm>
                    <a:prstGeom prst="rect">
                      <a:avLst/>
                    </a:prstGeom>
                  </pic:spPr>
                </pic:pic>
              </a:graphicData>
            </a:graphic>
          </wp:inline>
        </w:drawing>
      </w:r>
    </w:p>
    <w:p>
      <w:pPr>
        <w:spacing w:after="80"/>
        <w:jc w:val="center"/>
      </w:pPr>
      <w:r>
        <w:rPr>
          <w:rFonts w:ascii="Calibri" w:hAnsi="Calibri" w:cs="Calibri"/>
          <w:b/>
          <w:caps/>
          <w:color w:val="082A40"/>
          <w:spacing w:val="20"/>
          <w:sz w:val="30"/>
          <w:szCs w:val="30"/>
        </w:rPr>
        <w:t xml:space="preserve">COMPANY PROFILE &amp; PMC CREDENTIALS</w:t>
      </w:r>
    </w:p>
    <w:p>
      <w:pPr>
        <w:spacing w:after="260" w:line="280" w:lineRule="auto"/>
        <w:jc w:val="center"/>
      </w:pPr>
      <w:r>
        <w:rPr>
          <w:rFonts w:ascii="Calibri" w:hAnsi="Calibri" w:cs="Calibri"/>
          <w:i/>
          <w:color w:val="5B6B76"/>
          <w:sz w:val="20"/>
          <w:szCs w:val="20"/>
        </w:rPr>
        <w:t xml:space="preserve">Project Management Consultancy for Co-operative Housing Society Redevelopment, Deemed Conveyance &amp; Regulatory Compliance in Maharashtra</w:t>
      </w:r>
    </w:p>
    <w:p>
      <w:pPr>
        <w:pBdr>
          <w:bottom w:val="single" w:sz="10" w:space="1" w:color="C8952E"/>
        </w:pBdr>
        <w:spacing w:after="200"/>
      </w:pPr>
    </w:p>
    <w:tbl>
      <w:tblPr>
        <w:tblW w:w="9600" w:type="dxa"/>
        <w:tblBorders>
          <w:top w:val="single" w:sz="4" w:color="D7DCE0"/>
          <w:left w:val="single" w:sz="4" w:color="D7DCE0"/>
          <w:bottom w:val="single" w:sz="4" w:color="D7DCE0"/>
          <w:right w:val="single" w:sz="4" w:color="D7DCE0"/>
          <w:insideH w:val="single" w:sz="4" w:color="D7DCE0"/>
          <w:insideV w:val="single" w:sz="4" w:color="D7DCE0"/>
        </w:tblBorders>
        <w:tblLayout w:type="fixed"/>
      </w:tblPr>
      <w:tblGrid>
        <w:gridCol w:w="2400"/>
        <w:gridCol w:w="2400"/>
        <w:gridCol w:w="2400"/>
        <w:gridCol w:w="2400"/>
      </w:tblGrid>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jc w:val="center"/>
              <w:spacing w:after="40"/>
            </w:pPr>
            <w:r>
              <w:rPr>
                <w:rFonts w:ascii="Calibri" w:hAnsi="Calibri" w:cs="Calibri"/>
                <w:b/>
                <w:color w:val="8A6A1E"/>
                <w:sz w:val="20"/>
                <w:szCs w:val="20"/>
              </w:rPr>
              <w:t xml:space="preserve">PMC &amp; Deemed Conveyance</w:t>
            </w:r>
          </w:p>
          <w:p>
            <w:pPr>
              <w:jc w:val="center"/>
            </w:pPr>
            <w:r>
              <w:rPr>
                <w:rFonts w:ascii="Calibri" w:hAnsi="Calibri" w:cs="Calibri"/>
                <w:color w:val="5B6B76"/>
                <w:sz w:val="15"/>
                <w:szCs w:val="15"/>
              </w:rPr>
              <w:t xml:space="preserve">Engagements Concluded</w:t>
            </w:r>
          </w:p>
        </w:tc>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jc w:val="center"/>
              <w:spacing w:after="40"/>
            </w:pPr>
            <w:r>
              <w:rPr>
                <w:rFonts w:ascii="Calibri" w:hAnsi="Calibri" w:cs="Calibri"/>
                <w:b/>
                <w:color w:val="8A6A1E"/>
                <w:sz w:val="20"/>
                <w:szCs w:val="20"/>
              </w:rPr>
              <w:t xml:space="preserve">Redevelopment</w:t>
            </w:r>
          </w:p>
          <w:p>
            <w:pPr>
              <w:jc w:val="center"/>
            </w:pPr>
            <w:r>
              <w:rPr>
                <w:rFonts w:ascii="Calibri" w:hAnsi="Calibri" w:cs="Calibri"/>
                <w:color w:val="5B6B76"/>
                <w:sz w:val="15"/>
                <w:szCs w:val="15"/>
              </w:rPr>
              <w:t xml:space="preserve">Advisory Assignments Managed</w:t>
            </w:r>
          </w:p>
        </w:tc>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jc w:val="center"/>
              <w:spacing w:after="40"/>
            </w:pPr>
            <w:r>
              <w:rPr>
                <w:rFonts w:ascii="Calibri" w:hAnsi="Calibri" w:cs="Calibri"/>
                <w:b/>
                <w:color w:val="8A6A1E"/>
                <w:sz w:val="20"/>
                <w:szCs w:val="20"/>
              </w:rPr>
              <w:t xml:space="preserve">Architect Certifications</w:t>
            </w:r>
          </w:p>
          <w:p>
            <w:pPr>
              <w:jc w:val="center"/>
            </w:pPr>
            <w:r>
              <w:rPr>
                <w:rFonts w:ascii="Calibri" w:hAnsi="Calibri" w:cs="Calibri"/>
                <w:color w:val="5B6B76"/>
                <w:sz w:val="15"/>
                <w:szCs w:val="15"/>
              </w:rPr>
              <w:t xml:space="preserve">Issued by Our Empanelled Architect</w:t>
            </w:r>
          </w:p>
        </w:tc>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jc w:val="center"/>
              <w:spacing w:after="40"/>
            </w:pPr>
            <w:r>
              <w:rPr>
                <w:rFonts w:ascii="Calibri" w:hAnsi="Calibri" w:cs="Calibri"/>
                <w:b/>
                <w:color w:val="8A6A1E"/>
                <w:sz w:val="20"/>
                <w:szCs w:val="20"/>
              </w:rPr>
              <w:t xml:space="preserve">18+</w:t>
            </w:r>
          </w:p>
          <w:p>
            <w:pPr>
              <w:jc w:val="center"/>
            </w:pPr>
            <w:r>
              <w:rPr>
                <w:rFonts w:ascii="Calibri" w:hAnsi="Calibri" w:cs="Calibri"/>
                <w:color w:val="5B6B76"/>
                <w:sz w:val="15"/>
                <w:szCs w:val="15"/>
              </w:rPr>
              <w:t xml:space="preserve">Years of Combined PMC Experience</w:t>
            </w:r>
          </w:p>
        </w:tc>
      </w:tr>
    </w:tbl>
    <w:p>
      <w:pPr>
        <w:spacing w:after="260"/>
      </w:pPr>
      <w:r>
        <w:t xml:space="preserve"/>
      </w:r>
    </w:p>
    <w:p>
      <w:pPr>
        <w:spacing w:after="260"/>
        <w:jc w:val="center"/>
      </w:pPr>
      <w:r>
        <w:rPr>
          <w:rFonts w:ascii="Calibri" w:hAnsi="Calibri" w:cs="Calibri"/>
          <w:b/>
          <w:i/>
          <w:color w:val="0B3D5C"/>
          <w:sz w:val="24"/>
          <w:szCs w:val="24"/>
        </w:rPr>
        <w:t xml:space="preserve">“We Represent You — Not the Builder.”</w:t>
      </w:r>
    </w:p>
    <w:p>
      <w:pPr>
        <w:spacing w:after="40"/>
        <w:jc w:val="center"/>
      </w:pPr>
      <w:r>
        <w:rPr>
          <w:rFonts w:ascii="Calibri" w:hAnsi="Calibri" w:cs="Calibri"/>
          <w:color w:val="5B6B76"/>
          <w:sz w:val="18"/>
          <w:szCs w:val="18"/>
        </w:rPr>
        <w:t xml:space="preserve">Mira Road (East)  •  Thane – 401107  •  Maharashtra, India</w:t>
      </w:r>
    </w:p>
    <w:p>
      <w:pPr>
        <w:spacing w:after="0"/>
        <w:jc w:val="center"/>
      </w:pPr>
      <w:r>
        <w:rPr>
          <w:rFonts w:ascii="Calibri" w:hAnsi="Calibri" w:cs="Calibri"/>
          <w:b/>
          <w:color w:val="082A40"/>
          <w:sz w:val="18"/>
          <w:szCs w:val="18"/>
        </w:rPr>
        <w:t xml:space="preserve">+91 80973 81503</w:t>
      </w:r>
      <w:r>
        <w:rPr>
          <w:rFonts w:ascii="Calibri" w:hAnsi="Calibri" w:cs="Calibri"/>
          <w:color w:val="5B6B76"/>
          <w:sz w:val="18"/>
          <w:szCs w:val="18"/>
        </w:rPr>
        <w:t xml:space="preserve">   •   admin@dhubgroup.in   •   www.dhubgroup.in</w:t>
      </w:r>
    </w:p>
    <w:p>
      <w:r>
        <w:br w:type="page"/>
      </w:r>
    </w:p>
    <w:p>
      <w:pPr>
        <w:spacing w:after="220"/>
      </w:pPr>
      <w:r>
        <w:rPr>
          <w:rFonts w:ascii="Calibri" w:hAnsi="Calibri" w:cs="Calibri"/>
          <w:b/>
          <w:caps/>
          <w:color w:val="082A40"/>
          <w:sz w:val="26"/>
          <w:szCs w:val="26"/>
        </w:rPr>
        <w:t xml:space="preserve">TABLE OF CONTENTS</w:t>
      </w:r>
    </w:p>
    <w:p>
      <w:pPr>
        <w:spacing w:after="90"/>
        <w:ind w:left="200"/>
      </w:pPr>
      <w:r>
        <w:rPr>
          <w:rFonts w:ascii="Calibri" w:hAnsi="Calibri" w:cs="Calibri"/>
          <w:b/>
          <w:color w:val="8A6A1E"/>
          <w:sz w:val="20"/>
          <w:szCs w:val="20"/>
        </w:rPr>
        <w:t xml:space="preserve">1.  </w:t>
      </w:r>
      <w:r>
        <w:rPr>
          <w:rFonts w:ascii="Calibri" w:hAnsi="Calibri" w:cs="Calibri"/>
          <w:color w:val="1F2A33"/>
          <w:sz w:val="20"/>
          <w:szCs w:val="20"/>
        </w:rPr>
        <w:t xml:space="preserve">About D-HUB Group</w:t>
      </w:r>
    </w:p>
    <w:p>
      <w:pPr>
        <w:spacing w:after="90"/>
        <w:ind w:left="200"/>
      </w:pPr>
      <w:r>
        <w:rPr>
          <w:rFonts w:ascii="Calibri" w:hAnsi="Calibri" w:cs="Calibri"/>
          <w:b/>
          <w:color w:val="8A6A1E"/>
          <w:sz w:val="20"/>
          <w:szCs w:val="20"/>
        </w:rPr>
        <w:t xml:space="preserve">2.  </w:t>
      </w:r>
      <w:r>
        <w:rPr>
          <w:rFonts w:ascii="Calibri" w:hAnsi="Calibri" w:cs="Calibri"/>
          <w:color w:val="1F2A33"/>
          <w:sz w:val="20"/>
          <w:szCs w:val="20"/>
        </w:rPr>
        <w:t xml:space="preserve">Core Services</w:t>
      </w:r>
    </w:p>
    <w:p>
      <w:pPr>
        <w:spacing w:after="90"/>
        <w:ind w:left="200"/>
      </w:pPr>
      <w:r>
        <w:rPr>
          <w:rFonts w:ascii="Calibri" w:hAnsi="Calibri" w:cs="Calibri"/>
          <w:b/>
          <w:color w:val="8A6A1E"/>
          <w:sz w:val="20"/>
          <w:szCs w:val="20"/>
        </w:rPr>
        <w:t xml:space="preserve">3.  </w:t>
      </w:r>
      <w:r>
        <w:rPr>
          <w:rFonts w:ascii="Calibri" w:hAnsi="Calibri" w:cs="Calibri"/>
          <w:color w:val="1F2A33"/>
          <w:sz w:val="20"/>
          <w:szCs w:val="20"/>
        </w:rPr>
        <w:t xml:space="preserve">Our Professional Team</w:t>
      </w:r>
    </w:p>
    <w:p>
      <w:pPr>
        <w:spacing w:after="90"/>
        <w:ind w:left="200"/>
      </w:pPr>
      <w:r>
        <w:rPr>
          <w:rFonts w:ascii="Calibri" w:hAnsi="Calibri" w:cs="Calibri"/>
          <w:b/>
          <w:color w:val="8A6A1E"/>
          <w:sz w:val="20"/>
          <w:szCs w:val="20"/>
        </w:rPr>
        <w:t xml:space="preserve">4.  </w:t>
      </w:r>
      <w:r>
        <w:rPr>
          <w:rFonts w:ascii="Calibri" w:hAnsi="Calibri" w:cs="Calibri"/>
          <w:color w:val="1F2A33"/>
          <w:sz w:val="20"/>
          <w:szCs w:val="20"/>
        </w:rPr>
        <w:t xml:space="preserve">Project Portfolio &amp; Track Record</w:t>
      </w:r>
    </w:p>
    <w:p>
      <w:pPr>
        <w:spacing w:after="90"/>
        <w:ind w:left="200"/>
      </w:pPr>
      <w:r>
        <w:rPr>
          <w:rFonts w:ascii="Calibri" w:hAnsi="Calibri" w:cs="Calibri"/>
          <w:b/>
          <w:color w:val="8A6A1E"/>
          <w:sz w:val="20"/>
          <w:szCs w:val="20"/>
        </w:rPr>
        <w:t xml:space="preserve">5.  </w:t>
      </w:r>
      <w:r>
        <w:rPr>
          <w:rFonts w:ascii="Calibri" w:hAnsi="Calibri" w:cs="Calibri"/>
          <w:color w:val="1F2A33"/>
          <w:sz w:val="20"/>
          <w:szCs w:val="20"/>
        </w:rPr>
        <w:t xml:space="preserve">Why Choose the D-HUB Team</w:t>
      </w:r>
    </w:p>
    <w:p>
      <w:pPr>
        <w:spacing w:after="90"/>
        <w:ind w:left="200"/>
      </w:pPr>
      <w:r>
        <w:rPr>
          <w:rFonts w:ascii="Calibri" w:hAnsi="Calibri" w:cs="Calibri"/>
          <w:b/>
          <w:color w:val="8A6A1E"/>
          <w:sz w:val="20"/>
          <w:szCs w:val="20"/>
        </w:rPr>
        <w:t xml:space="preserve">6.  </w:t>
      </w:r>
      <w:r>
        <w:rPr>
          <w:rFonts w:ascii="Calibri" w:hAnsi="Calibri" w:cs="Calibri"/>
          <w:color w:val="1F2A33"/>
          <w:sz w:val="20"/>
          <w:szCs w:val="20"/>
        </w:rPr>
        <w:t xml:space="preserve">Regulatory Expertise &amp; Frameworks</w:t>
      </w:r>
    </w:p>
    <w:p>
      <w:pPr>
        <w:spacing w:after="90"/>
        <w:ind w:left="200"/>
      </w:pPr>
      <w:r>
        <w:rPr>
          <w:rFonts w:ascii="Calibri" w:hAnsi="Calibri" w:cs="Calibri"/>
          <w:b/>
          <w:color w:val="8A6A1E"/>
          <w:sz w:val="20"/>
          <w:szCs w:val="20"/>
        </w:rPr>
        <w:t xml:space="preserve">7.  </w:t>
      </w:r>
      <w:r>
        <w:rPr>
          <w:rFonts w:ascii="Calibri" w:hAnsi="Calibri" w:cs="Calibri"/>
          <w:color w:val="1F2A33"/>
          <w:sz w:val="20"/>
          <w:szCs w:val="20"/>
        </w:rPr>
        <w:t xml:space="preserve">Statutory Credentials &amp; Registrations</w:t>
      </w:r>
    </w:p>
    <w:p>
      <w:pPr>
        <w:spacing w:after="90"/>
        <w:ind w:left="200"/>
      </w:pPr>
      <w:r>
        <w:rPr>
          <w:rFonts w:ascii="Calibri" w:hAnsi="Calibri" w:cs="Calibri"/>
          <w:b/>
          <w:color w:val="8A6A1E"/>
          <w:sz w:val="20"/>
          <w:szCs w:val="20"/>
        </w:rPr>
        <w:t xml:space="preserve">8.  </w:t>
      </w:r>
      <w:r>
        <w:rPr>
          <w:rFonts w:ascii="Calibri" w:hAnsi="Calibri" w:cs="Calibri"/>
          <w:color w:val="1F2A33"/>
          <w:sz w:val="20"/>
          <w:szCs w:val="20"/>
        </w:rPr>
        <w:t xml:space="preserve">Declaration</w:t>
      </w:r>
    </w:p>
    <w:p>
      <w:pPr>
        <w:spacing w:after="90"/>
        <w:ind w:left="200"/>
      </w:pPr>
      <w:r>
        <w:rPr>
          <w:rFonts w:ascii="Calibri" w:hAnsi="Calibri" w:cs="Calibri"/>
          <w:b/>
          <w:color w:val="8A6A1E"/>
          <w:sz w:val="20"/>
          <w:szCs w:val="20"/>
        </w:rPr>
        <w:t xml:space="preserve">9.  </w:t>
      </w:r>
      <w:r>
        <w:rPr>
          <w:rFonts w:ascii="Calibri" w:hAnsi="Calibri" w:cs="Calibri"/>
          <w:color w:val="1F2A33"/>
          <w:sz w:val="20"/>
          <w:szCs w:val="20"/>
        </w:rPr>
        <w:t xml:space="preserve">Contact Us</w:t>
      </w:r>
    </w:p>
    <w:p>
      <w:r>
        <w:br w:type="page"/>
      </w:r>
    </w:p>
    <w:p>
      <w:pPr>
        <w:keepNext/>
        <w:spacing w:before="420" w:after="200"/>
        <w:pBdr>
          <w:bottom w:val="single" w:sz="12" w:space="6" w:color="C8952E"/>
        </w:pBdr>
      </w:pPr>
      <w:r>
        <w:rPr>
          <w:rFonts w:ascii="Calibri" w:hAnsi="Calibri" w:cs="Calibri"/>
          <w:b/>
          <w:color w:val="082A40"/>
          <w:sz w:val="30"/>
          <w:szCs w:val="30"/>
        </w:rPr>
        <w:t xml:space="preserve">1.  ABOUT D-HUB GROUP</w:t>
      </w:r>
    </w:p>
    <w:p>
      <w:pPr>
        <w:spacing w:after="140" w:line="276" w:lineRule="auto"/>
      </w:pPr>
      <w:r>
        <w:rPr>
          <w:rFonts w:ascii="Calibri" w:hAnsi="Calibri" w:cs="Calibri"/>
          <w:color w:val="1F2A33"/>
          <w:sz w:val="20"/>
          <w:szCs w:val="20"/>
        </w:rPr>
        <w:t xml:space="preserve">D-HUB Group is a Mira Road-based Project Management Consultancy (PMC) specialising in co-operative housing society redevelopment, deemed conveyance under the Maharashtra Ownership Flats Act (MOFA), 1963, and regulatory compliance across the Mumbai Metropolitan Region (MMR). The firm is led by Dr. Danish Lambe (BA, MA, PhD – Political Science), a PMC practitioner, real estate policy analyst and publisher with over 18 years of experience guiding housing societies through redevelopment, title resolution and statutory approvals.</w:t>
      </w:r>
    </w:p>
    <w:p>
      <w:pPr>
        <w:spacing w:after="140" w:line="276" w:lineRule="auto"/>
      </w:pPr>
      <w:r>
        <w:rPr>
          <w:rFonts w:ascii="Calibri" w:hAnsi="Calibri" w:cs="Calibri"/>
          <w:color w:val="1F2A33"/>
          <w:sz w:val="20"/>
          <w:szCs w:val="20"/>
        </w:rPr>
        <w:t xml:space="preserve">D-HUB Group operates through two co-equal entities functioning as one integrated unit under a single mandate — protecting Society members at every stage of their redevelopment journey.</w:t>
      </w:r>
    </w:p>
    <w:tbl>
      <w:tblPr>
        <w:tblW w:w="9400" w:type="dxa"/>
        <w:tblBorders>
          <w:top w:val="single" w:sz="4" w:color="D7DCE0"/>
          <w:left w:val="single" w:sz="4" w:color="D7DCE0"/>
          <w:bottom w:val="single" w:sz="4" w:color="D7DCE0"/>
          <w:right w:val="single" w:sz="4" w:color="D7DCE0"/>
          <w:insideH w:val="single" w:sz="4" w:color="D7DCE0"/>
          <w:insideV w:val="single" w:sz="4" w:color="D7DCE0"/>
        </w:tblBorders>
        <w:tblLayout w:type="fixed"/>
      </w:tblPr>
      <w:tblGrid>
        <w:gridCol w:w="4700"/>
        <w:gridCol w:w="4700"/>
      </w:tblGrid>
      <w:tr>
        <w:tc>
          <w:tcPr>
            <w:tcW w:w="47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spacing w:after="40"/>
            </w:pPr>
            <w:r>
              <w:rPr>
                <w:rFonts w:ascii="Calibri" w:hAnsi="Calibri" w:cs="Calibri"/>
                <w:b/>
                <w:color w:val="082A40"/>
                <w:sz w:val="19"/>
                <w:szCs w:val="19"/>
              </w:rPr>
              <w:t xml:space="preserve">D-HUB Project Management Consultancy</w:t>
            </w:r>
          </w:p>
          <w:p>
            <w:pPr>
              <w:spacing w:after="20"/>
            </w:pPr>
            <w:r>
              <w:rPr>
                <w:rFonts w:ascii="Calibri" w:hAnsi="Calibri" w:cs="Calibri"/>
                <w:b/>
                <w:sz w:val="18"/>
                <w:szCs w:val="18"/>
              </w:rPr>
              <w:t xml:space="preserve">Type: </w:t>
            </w:r>
            <w:r>
              <w:rPr>
                <w:rFonts w:ascii="Calibri" w:hAnsi="Calibri" w:cs="Calibri"/>
                <w:sz w:val="18"/>
                <w:szCs w:val="18"/>
              </w:rPr>
              <w:t xml:space="preserve">Proprietorship Firm</w:t>
            </w:r>
          </w:p>
          <w:p>
            <w:pPr>
              <w:spacing w:after="20"/>
            </w:pPr>
            <w:r>
              <w:rPr>
                <w:rFonts w:ascii="Calibri" w:hAnsi="Calibri" w:cs="Calibri"/>
                <w:b/>
                <w:sz w:val="18"/>
                <w:szCs w:val="18"/>
              </w:rPr>
              <w:t xml:space="preserve">Role: </w:t>
            </w:r>
            <w:r>
              <w:rPr>
                <w:rFonts w:ascii="Calibri" w:hAnsi="Calibri" w:cs="Calibri"/>
                <w:sz w:val="18"/>
                <w:szCs w:val="18"/>
              </w:rPr>
              <w:t xml:space="preserve">Client advisory, Society representation, PMC coordination</w:t>
            </w:r>
          </w:p>
          <w:p>
            <w:r>
              <w:rPr>
                <w:rFonts w:ascii="Calibri" w:hAnsi="Calibri" w:cs="Calibri"/>
                <w:b/>
                <w:sz w:val="18"/>
                <w:szCs w:val="18"/>
              </w:rPr>
              <w:t xml:space="preserve">Status: </w:t>
            </w:r>
            <w:r>
              <w:rPr>
                <w:rFonts w:ascii="Calibri" w:hAnsi="Calibri" w:cs="Calibri"/>
                <w:sz w:val="18"/>
                <w:szCs w:val="18"/>
              </w:rPr>
              <w:t xml:space="preserve">Active — Mira Road (East), Thane</w:t>
            </w:r>
          </w:p>
        </w:tc>
        <w:tc>
          <w:tcPr>
            <w:tcW w:w="47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pPr>
              <w:spacing w:after="40"/>
            </w:pPr>
            <w:r>
              <w:rPr>
                <w:rFonts w:ascii="Calibri" w:hAnsi="Calibri" w:cs="Calibri"/>
                <w:b/>
                <w:color w:val="082A40"/>
                <w:sz w:val="19"/>
                <w:szCs w:val="19"/>
              </w:rPr>
              <w:t xml:space="preserve">D-Future Hub LLP</w:t>
            </w:r>
          </w:p>
          <w:p>
            <w:pPr>
              <w:spacing w:after="20"/>
            </w:pPr>
            <w:r>
              <w:rPr>
                <w:rFonts w:ascii="Calibri" w:hAnsi="Calibri" w:cs="Calibri"/>
                <w:b/>
                <w:sz w:val="18"/>
                <w:szCs w:val="18"/>
              </w:rPr>
              <w:t xml:space="preserve">Type: </w:t>
            </w:r>
            <w:r>
              <w:rPr>
                <w:rFonts w:ascii="Calibri" w:hAnsi="Calibri" w:cs="Calibri"/>
                <w:sz w:val="18"/>
                <w:szCs w:val="18"/>
              </w:rPr>
              <w:t xml:space="preserve">Limited Liability Partnership</w:t>
            </w:r>
          </w:p>
          <w:p>
            <w:pPr>
              <w:spacing w:after="20"/>
            </w:pPr>
            <w:r>
              <w:rPr>
                <w:rFonts w:ascii="Calibri" w:hAnsi="Calibri" w:cs="Calibri"/>
                <w:b/>
                <w:sz w:val="18"/>
                <w:szCs w:val="18"/>
              </w:rPr>
              <w:t xml:space="preserve">Role: </w:t>
            </w:r>
            <w:r>
              <w:rPr>
                <w:rFonts w:ascii="Calibri" w:hAnsi="Calibri" w:cs="Calibri"/>
                <w:sz w:val="18"/>
                <w:szCs w:val="18"/>
              </w:rPr>
              <w:t xml:space="preserve">Formal contracts, statutory filings, empanelment</w:t>
            </w:r>
          </w:p>
          <w:p>
            <w:r>
              <w:rPr>
                <w:rFonts w:ascii="Calibri" w:hAnsi="Calibri" w:cs="Calibri"/>
                <w:b/>
                <w:sz w:val="18"/>
                <w:szCs w:val="18"/>
              </w:rPr>
              <w:t xml:space="preserve">LLPIN: </w:t>
            </w:r>
            <w:r>
              <w:rPr>
                <w:rFonts w:ascii="Calibri" w:hAnsi="Calibri" w:cs="Calibri"/>
                <w:sz w:val="18"/>
                <w:szCs w:val="18"/>
              </w:rPr>
              <w:t xml:space="preserve">ACS-9142   </w:t>
            </w:r>
            <w:r>
              <w:rPr>
                <w:rFonts w:ascii="Calibri" w:hAnsi="Calibri" w:cs="Calibri"/>
                <w:b/>
                <w:sz w:val="18"/>
                <w:szCs w:val="18"/>
              </w:rPr>
              <w:t xml:space="preserve">PAN: </w:t>
            </w:r>
            <w:r>
              <w:rPr>
                <w:rFonts w:ascii="Calibri" w:hAnsi="Calibri" w:cs="Calibri"/>
                <w:sz w:val="18"/>
                <w:szCs w:val="18"/>
              </w:rPr>
              <w:t xml:space="preserve">AAZFD0304R</w:t>
            </w:r>
          </w:p>
        </w:tc>
      </w:tr>
    </w:tbl>
    <w:p>
      <w:pPr>
        <w:spacing w:after="140"/>
      </w:pPr>
      <w:r>
        <w:t xml:space="preserve"/>
      </w:r>
    </w:p>
    <w:p>
      <w:pPr>
        <w:spacing w:after="140" w:line="276" w:lineRule="auto"/>
      </w:pPr>
      <w:r>
        <w:rPr>
          <w:rFonts w:ascii="Calibri" w:hAnsi="Calibri" w:cs="Calibri"/>
          <w:color w:val="1F2A33"/>
          <w:sz w:val="20"/>
          <w:szCs w:val="20"/>
        </w:rPr>
        <w:t xml:space="preserve">Both entities are led by the same team and share one mandate: safeguarding member interests throughout the redevelopment lifecycle, from feasibility to final handover.</w:t>
      </w:r>
    </w:p>
    <w:p>
      <w:pPr>
        <w:spacing w:after="140" w:line="276" w:lineRule="auto"/>
      </w:pPr>
      <w:r>
        <w:rPr>
          <w:rFonts w:ascii="Calibri" w:hAnsi="Calibri" w:cs="Calibri"/>
          <w:b/>
          <w:color w:val="082A40"/>
          <w:sz w:val="20"/>
          <w:szCs w:val="20"/>
        </w:rPr>
        <w:t xml:space="preserve">Geographic presence: </w:t>
      </w:r>
      <w:r>
        <w:rPr>
          <w:rFonts w:ascii="Calibri" w:hAnsi="Calibri" w:cs="Calibri"/>
          <w:sz w:val="20"/>
          <w:szCs w:val="20"/>
        </w:rPr>
        <w:t xml:space="preserve">Mira-Bhayandar (MBMC), Thane Municipal Corporation (TMC), and the wider Mumbai Metropolitan Region (BMC), with assignments spanning multiple wards and municipal jurisdictions.</w:t>
      </w:r>
    </w:p>
    <w:p>
      <w:pPr>
        <w:keepNext/>
        <w:spacing w:before="420" w:after="200"/>
        <w:pBdr>
          <w:bottom w:val="single" w:sz="12" w:space="6" w:color="C8952E"/>
        </w:pBdr>
      </w:pPr>
      <w:r>
        <w:rPr>
          <w:rFonts w:ascii="Calibri" w:hAnsi="Calibri" w:cs="Calibri"/>
          <w:b/>
          <w:color w:val="082A40"/>
          <w:sz w:val="30"/>
          <w:szCs w:val="30"/>
        </w:rPr>
        <w:t xml:space="preserve">2.  CORE SERVICES</w:t>
      </w:r>
    </w:p>
    <w:p>
      <w:pPr>
        <w:spacing w:after="140" w:line="276" w:lineRule="auto"/>
      </w:pPr>
      <w:r>
        <w:rPr>
          <w:rFonts w:ascii="Calibri" w:hAnsi="Calibri" w:cs="Calibri"/>
          <w:color w:val="1F2A33"/>
          <w:sz w:val="20"/>
          <w:szCs w:val="20"/>
        </w:rPr>
        <w:t xml:space="preserve">D-HUB Group provides end-to-end Project Management Consultancy for Co-operative Housing Societies undertaking redevelopment, deemed conveyance or statutory compliance in Maharashtra. Our core service lines include:</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Redevelopment Feasibility Study: </w:t>
      </w:r>
      <w:r>
        <w:rPr>
          <w:rFonts w:ascii="Calibri" w:hAnsi="Calibri" w:cs="Calibri"/>
          <w:color w:val="1F2A33"/>
          <w:sz w:val="20"/>
          <w:szCs w:val="20"/>
        </w:rPr>
        <w:t xml:space="preserve">FSI/TDR computation, carpet area projections, corpus fund estimation, development-potential assessment, and self-redevelopment versus builder-led comparative analysis.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Tender Design &amp; Developer Evaluation: </w:t>
      </w:r>
      <w:r>
        <w:rPr>
          <w:rFonts w:ascii="Calibri" w:hAnsi="Calibri" w:cs="Calibri"/>
          <w:color w:val="1F2A33"/>
          <w:sz w:val="20"/>
          <w:szCs w:val="20"/>
        </w:rPr>
        <w:t xml:space="preserve">Professional tender documentation, evaluation criteria, developer shortlisting, background verification, and comparative bid analysis to support Managing Committee decision-making.</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Deemed Conveyance under MOFA: </w:t>
      </w:r>
      <w:r>
        <w:rPr>
          <w:rFonts w:ascii="Calibri" w:hAnsi="Calibri" w:cs="Calibri"/>
          <w:color w:val="1F2A33"/>
          <w:sz w:val="20"/>
          <w:szCs w:val="20"/>
        </w:rPr>
        <w:t xml:space="preserve">Revenue record verification, Competent Authority proceedings under MOFA Section 11, and registered conveyance deed execution for societies where the promoter has not conveyed title.</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Self-Redevelopment Advisory: </w:t>
      </w:r>
      <w:r>
        <w:rPr>
          <w:rFonts w:ascii="Calibri" w:hAnsi="Calibri" w:cs="Calibri"/>
          <w:color w:val="1F2A33"/>
          <w:sz w:val="20"/>
          <w:szCs w:val="20"/>
        </w:rPr>
        <w:t xml:space="preserve">End-to-end guidance covering financing structures, bank liaison, PMC representation, contractor empanelment, and compliance management for self-redevelopment models.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Architectural &amp; Commencement Certificate Facilitation: </w:t>
      </w:r>
      <w:r>
        <w:rPr>
          <w:rFonts w:ascii="Calibri" w:hAnsi="Calibri" w:cs="Calibri"/>
          <w:color w:val="1F2A33"/>
          <w:sz w:val="20"/>
          <w:szCs w:val="20"/>
        </w:rPr>
        <w:t xml:space="preserve">Plan sanctions, FSI computations, layout approvals, and Commencement Certificate (CC) applications under MBMC, TMC and BMC jurisdictions.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Structural Audit &amp; Assessment: </w:t>
      </w:r>
      <w:r>
        <w:rPr>
          <w:rFonts w:ascii="Calibri" w:hAnsi="Calibri" w:cs="Calibri"/>
          <w:color w:val="1F2A33"/>
          <w:sz w:val="20"/>
          <w:szCs w:val="20"/>
        </w:rPr>
        <w:t xml:space="preserve">Independent structural audits for redevelopment eligibility, building age certification, and technical reports for Managing Committee and statutory authority submissions.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MahaRERA &amp; Regulatory Compliance: </w:t>
      </w:r>
      <w:r>
        <w:rPr>
          <w:rFonts w:ascii="Calibri" w:hAnsi="Calibri" w:cs="Calibri"/>
          <w:color w:val="1F2A33"/>
          <w:sz w:val="20"/>
          <w:szCs w:val="20"/>
        </w:rPr>
        <w:t xml:space="preserve">MahaRERA registration support, complaint advisory, recovery application assistance, and ongoing compliance monitoring under MOFA, the MCS Act, DCPR 2034 and UDCPR 2020.</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Legal Scrutiny &amp; Agreement Review: </w:t>
      </w:r>
      <w:r>
        <w:rPr>
          <w:rFonts w:ascii="Calibri" w:hAnsi="Calibri" w:cs="Calibri"/>
          <w:color w:val="1F2A33"/>
          <w:sz w:val="20"/>
          <w:szCs w:val="20"/>
        </w:rPr>
        <w:t xml:space="preserve">Developer agreement vetting, redevelopment deed review, deemed conveyance petition drafting, society bye-law compliance, and housing litigation support.</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Revenue Record &amp; Title Resolution: </w:t>
      </w:r>
      <w:r>
        <w:rPr>
          <w:rFonts w:ascii="Calibri" w:hAnsi="Calibri" w:cs="Calibri"/>
          <w:color w:val="1F2A33"/>
          <w:sz w:val="20"/>
          <w:szCs w:val="20"/>
        </w:rPr>
        <w:t xml:space="preserve">7/12 discrepancy resolution, Urban Land Ceiling (ULC) advisory, title search, land-area enhancement coordination, and legacy title-issue management for complex schemes.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Society Stakeholder Management: </w:t>
      </w:r>
      <w:r>
        <w:rPr>
          <w:rFonts w:ascii="Calibri" w:hAnsi="Calibri" w:cs="Calibri"/>
          <w:color w:val="1F2A33"/>
          <w:sz w:val="20"/>
          <w:szCs w:val="20"/>
        </w:rPr>
        <w:t xml:space="preserve">Member communication, General Body presentation design, Managing Committee advisory, dispute de-escalation, and transparent milestone documentation.</w:t>
      </w:r>
    </w:p>
    <w:p>
      <w:r>
        <w:br w:type="page"/>
      </w:r>
    </w:p>
    <w:p>
      <w:pPr>
        <w:keepNext/>
        <w:spacing w:before="420" w:after="200"/>
        <w:pBdr>
          <w:bottom w:val="single" w:sz="12" w:space="6" w:color="C8952E"/>
        </w:pBdr>
      </w:pPr>
      <w:r>
        <w:rPr>
          <w:rFonts w:ascii="Calibri" w:hAnsi="Calibri" w:cs="Calibri"/>
          <w:b/>
          <w:color w:val="082A40"/>
          <w:sz w:val="30"/>
          <w:szCs w:val="30"/>
        </w:rPr>
        <w:t xml:space="preserve">3.  OUR PROFESSIONAL TEAM</w:t>
      </w:r>
    </w:p>
    <w:p>
      <w:pPr>
        <w:spacing w:after="140" w:line="276" w:lineRule="auto"/>
      </w:pPr>
      <w:r>
        <w:rPr>
          <w:rFonts w:ascii="Calibri" w:hAnsi="Calibri" w:cs="Calibri"/>
          <w:color w:val="1F2A33"/>
          <w:sz w:val="20"/>
          <w:szCs w:val="20"/>
        </w:rPr>
        <w:t xml:space="preserve">D-HUB Group's engagements are led by an in-house, multi-disciplinary team so that a Society need not coordinate separate consultants across different firms.</w:t>
      </w:r>
    </w:p>
    <w:p>
      <w:pPr>
        <w:keepNext/>
        <w:spacing w:before="180" w:after="20"/>
      </w:pPr>
      <w:r>
        <w:rPr>
          <w:rFonts w:ascii="Calibri" w:hAnsi="Calibri" w:cs="Calibri"/>
          <w:b/>
          <w:color w:val="082A40"/>
          <w:sz w:val="21"/>
          <w:szCs w:val="21"/>
        </w:rPr>
        <w:t xml:space="preserve">Dr. Danish Lambe</w:t>
      </w:r>
    </w:p>
    <w:p>
      <w:pPr>
        <w:keepNext/>
        <w:spacing w:after="40"/>
      </w:pPr>
      <w:r>
        <w:rPr>
          <w:rFonts w:ascii="Calibri" w:hAnsi="Calibri" w:cs="Calibri"/>
          <w:b/>
          <w:i/>
          <w:color w:val="8A6A1E"/>
          <w:sz w:val="18"/>
          <w:szCs w:val="18"/>
        </w:rPr>
        <w:t xml:space="preserve">Team Leader &amp; Principal PMC</w:t>
      </w:r>
    </w:p>
    <w:p>
      <w:pPr>
        <w:keepNext/>
        <w:spacing w:after="60"/>
      </w:pPr>
      <w:r>
        <w:rPr>
          <w:rFonts w:ascii="Calibri" w:hAnsi="Calibri" w:cs="Calibri"/>
          <w:i/>
          <w:color w:val="5B6B76"/>
          <w:sz w:val="17"/>
          <w:szCs w:val="17"/>
        </w:rPr>
        <w:t xml:space="preserve">BA, MA, PhD (Political Science)  |  Editor-in-Chief &amp; Publisher, Housing &amp; Property Times</w:t>
      </w:r>
    </w:p>
    <w:p>
      <w:pPr>
        <w:spacing w:after="160" w:line="276" w:lineRule="auto"/>
      </w:pPr>
      <w:r>
        <w:rPr>
          <w:rFonts w:ascii="Calibri" w:hAnsi="Calibri" w:cs="Calibri"/>
          <w:color w:val="1F2A33"/>
          <w:sz w:val="20"/>
          <w:szCs w:val="20"/>
        </w:rPr>
        <w:t xml:space="preserve">18+ years as PMC and regulatory compliance consultant for redevelopment projects across Mumbai and Thane. Holds a PhD in Political Science with expertise in real estate legislation and policy, and has contributed to RERA-related legislative and regulatory advisory work. Currently Editor-in-Chief &amp; Publisher of Housing &amp; Property Times, a bilingual (English &amp; Marathi) weekly newspaper covering housing, redevelopment and real estate policy (Reg. No. MHBIL/26/A0022). Has secured statutory approvals, legal clearances and regulatory NOCs for multiple projects across the Mumbai Metropolitan Region.</w:t>
      </w:r>
    </w:p>
    <w:p>
      <w:pPr>
        <w:keepNext/>
        <w:spacing w:before="180" w:after="20"/>
      </w:pPr>
      <w:r>
        <w:rPr>
          <w:rFonts w:ascii="Calibri" w:hAnsi="Calibri" w:cs="Calibri"/>
          <w:b/>
          <w:color w:val="082A40"/>
          <w:sz w:val="21"/>
          <w:szCs w:val="21"/>
        </w:rPr>
        <w:t xml:space="preserve">Ar. Mohammed K. Mehsaniya</w:t>
      </w:r>
    </w:p>
    <w:p>
      <w:pPr>
        <w:keepNext/>
        <w:spacing w:after="40"/>
      </w:pPr>
      <w:r>
        <w:rPr>
          <w:rFonts w:ascii="Calibri" w:hAnsi="Calibri" w:cs="Calibri"/>
          <w:b/>
          <w:i/>
          <w:color w:val="8A6A1E"/>
          <w:sz w:val="18"/>
          <w:szCs w:val="18"/>
        </w:rPr>
        <w:t xml:space="preserve">Registered Architect (Council of Architecture)</w:t>
      </w:r>
    </w:p>
    <w:p>
      <w:pPr>
        <w:keepNext/>
        <w:spacing w:after="60"/>
      </w:pPr>
      <w:r>
        <w:rPr>
          <w:rFonts w:ascii="Calibri" w:hAnsi="Calibri" w:cs="Calibri"/>
          <w:i/>
          <w:color w:val="5B6B76"/>
          <w:sz w:val="17"/>
          <w:szCs w:val="17"/>
        </w:rPr>
        <w:t xml:space="preserve">COA Reg. No.: CA/2016/80464  |  Council of Architecture, Government of India</w:t>
      </w:r>
    </w:p>
    <w:p>
      <w:pPr>
        <w:spacing w:after="160" w:line="276" w:lineRule="auto"/>
      </w:pPr>
      <w:r>
        <w:rPr>
          <w:rFonts w:ascii="Calibri" w:hAnsi="Calibri" w:cs="Calibri"/>
          <w:color w:val="1F2A33"/>
          <w:sz w:val="20"/>
          <w:szCs w:val="20"/>
        </w:rPr>
        <w:t xml:space="preserve">Ten years of professional architectural practice, having issued architect certificates for numerous redevelopment and housing society projects across Maharashtra. Specialises in FSI computation, layout approvals, plan sanctions, and statutory compliance under DCPR 2034 and UDCPR 2020, including Commencement Certificate applications for MBMC and TMC jurisdiction projects. COA registration independently verifiable on the official Council of Architecture website.</w:t>
      </w:r>
    </w:p>
    <w:p>
      <w:pPr>
        <w:keepNext/>
        <w:spacing w:before="180" w:after="20"/>
      </w:pPr>
      <w:r>
        <w:rPr>
          <w:rFonts w:ascii="Calibri" w:hAnsi="Calibri" w:cs="Calibri"/>
          <w:b/>
          <w:color w:val="082A40"/>
          <w:sz w:val="21"/>
          <w:szCs w:val="21"/>
        </w:rPr>
        <w:t xml:space="preserve">Adv. Amreen Karimi</w:t>
      </w:r>
    </w:p>
    <w:p>
      <w:pPr>
        <w:keepNext/>
        <w:spacing w:after="40"/>
      </w:pPr>
      <w:r>
        <w:rPr>
          <w:rFonts w:ascii="Calibri" w:hAnsi="Calibri" w:cs="Calibri"/>
          <w:b/>
          <w:i/>
          <w:color w:val="8A6A1E"/>
          <w:sz w:val="18"/>
          <w:szCs w:val="18"/>
        </w:rPr>
        <w:t xml:space="preserve">Legal Consultant &amp; Advocate</w:t>
      </w:r>
    </w:p>
    <w:p>
      <w:pPr>
        <w:keepNext/>
        <w:spacing w:after="60"/>
      </w:pPr>
      <w:r>
        <w:rPr>
          <w:rFonts w:ascii="Calibri" w:hAnsi="Calibri" w:cs="Calibri"/>
          <w:i/>
          <w:color w:val="5B6B76"/>
          <w:sz w:val="17"/>
          <w:szCs w:val="17"/>
        </w:rPr>
        <w:t xml:space="preserve">20+ Years of Practice  |  Mira-Bhayandar Bar  |  Co-operative Society Law</w:t>
      </w:r>
    </w:p>
    <w:p>
      <w:pPr>
        <w:spacing w:after="160" w:line="276" w:lineRule="auto"/>
      </w:pPr>
      <w:r>
        <w:rPr>
          <w:rFonts w:ascii="Calibri" w:hAnsi="Calibri" w:cs="Calibri"/>
          <w:color w:val="1F2A33"/>
          <w:sz w:val="20"/>
          <w:szCs w:val="20"/>
        </w:rPr>
        <w:t xml:space="preserve">An established legal practitioner in Mira-Bhayandar with over two decades of experience in co-operative housing society law, redevelopment agreements, deemed conveyance petitions, MahaRERA matters, and housing-related litigation. Advises on agreement vetting, developer evaluation, society rights, member-protection clauses, and Competent Authority proceedings, and has represented housing societies before Thane and Mumbai authorities.</w:t>
      </w:r>
    </w:p>
    <w:p>
      <w:pPr>
        <w:keepNext/>
        <w:spacing w:before="180" w:after="20"/>
      </w:pPr>
      <w:r>
        <w:rPr>
          <w:rFonts w:ascii="Calibri" w:hAnsi="Calibri" w:cs="Calibri"/>
          <w:b/>
          <w:color w:val="082A40"/>
          <w:sz w:val="21"/>
          <w:szCs w:val="21"/>
        </w:rPr>
        <w:t xml:space="preserve">Er. Abid Behlim</w:t>
      </w:r>
    </w:p>
    <w:p>
      <w:pPr>
        <w:keepNext/>
        <w:spacing w:after="40"/>
      </w:pPr>
      <w:r>
        <w:rPr>
          <w:rFonts w:ascii="Calibri" w:hAnsi="Calibri" w:cs="Calibri"/>
          <w:b/>
          <w:i/>
          <w:color w:val="8A6A1E"/>
          <w:sz w:val="18"/>
          <w:szCs w:val="18"/>
        </w:rPr>
        <w:t xml:space="preserve">Engineering Consultant</w:t>
      </w:r>
    </w:p>
    <w:p>
      <w:pPr>
        <w:keepNext/>
        <w:spacing w:after="60"/>
      </w:pPr>
      <w:r>
        <w:rPr>
          <w:rFonts w:ascii="Calibri" w:hAnsi="Calibri" w:cs="Calibri"/>
          <w:i/>
          <w:color w:val="5B6B76"/>
          <w:sz w:val="17"/>
          <w:szCs w:val="17"/>
        </w:rPr>
        <w:t xml:space="preserve">B.E. Civil Engineering  |  10 Years of Experience  |  Structural Audit Specialist</w:t>
      </w:r>
    </w:p>
    <w:p>
      <w:pPr>
        <w:spacing w:after="160" w:line="276" w:lineRule="auto"/>
      </w:pPr>
      <w:r>
        <w:rPr>
          <w:rFonts w:ascii="Calibri" w:hAnsi="Calibri" w:cs="Calibri"/>
          <w:color w:val="1F2A33"/>
          <w:sz w:val="20"/>
          <w:szCs w:val="20"/>
        </w:rPr>
        <w:t xml:space="preserve">A civil and structural engineer specialising in structural audits for redevelopment eligibility, building age and condition certification, technical feasibility evaluation, and construction monitoring for housing society projects. Provides independent technical reports for Managing Committee decision-making and statutory authority submissions across MBMC, TMC and BMC jurisdictions.</w:t>
      </w:r>
    </w:p>
    <w:p>
      <w:pPr>
        <w:keepNext/>
        <w:spacing w:before="160" w:after="100"/>
        <w:shd w:val="clear" w:color="auto" w:fill="FBF3E3"/>
      </w:pPr>
      <w:r>
        <w:rPr>
          <w:rFonts w:ascii="Calibri" w:hAnsi="Calibri" w:cs="Calibri"/>
          <w:b/>
          <w:color w:val="082A40"/>
          <w:sz w:val="20"/>
          <w:szCs w:val="20"/>
        </w:rPr>
        <w:t xml:space="preserve">Our Unique Advantage — Media Intelligence Combined with PMC Expertise</w:t>
      </w:r>
    </w:p>
    <w:p>
      <w:pPr>
        <w:spacing w:after="140" w:line="276" w:lineRule="auto"/>
      </w:pPr>
      <w:r>
        <w:rPr>
          <w:rFonts w:ascii="Calibri" w:hAnsi="Calibri" w:cs="Calibri"/>
          <w:color w:val="1F2A33"/>
          <w:sz w:val="20"/>
          <w:szCs w:val="20"/>
        </w:rPr>
        <w:t xml:space="preserve">Dr. Danish Lambe's role as Editor-in-Chief &amp; Publisher of Housing &amp; Property Times gives the D-HUB team a distinctive edge: real-time visibility into Maharashtra's evolving real estate regulations, MahaRERA case law, builder market practices, DCPR/UDCPR amendments, and redevelopment policy — intelligence that is applied directly to every client advisory and Society-protection strategy.</w:t>
      </w:r>
    </w:p>
    <w:p>
      <w:r>
        <w:br w:type="page"/>
      </w:r>
    </w:p>
    <w:p>
      <w:pPr>
        <w:keepNext/>
        <w:spacing w:before="420" w:after="200"/>
        <w:pBdr>
          <w:bottom w:val="single" w:sz="12" w:space="6" w:color="C8952E"/>
        </w:pBdr>
      </w:pPr>
      <w:r>
        <w:rPr>
          <w:rFonts w:ascii="Calibri" w:hAnsi="Calibri" w:cs="Calibri"/>
          <w:b/>
          <w:color w:val="082A40"/>
          <w:sz w:val="30"/>
          <w:szCs w:val="30"/>
        </w:rPr>
        <w:t xml:space="preserve">4.  PROJECT PORTFOLIO &amp; TRACK RECORD</w:t>
      </w:r>
    </w:p>
    <w:p>
      <w:pPr>
        <w:spacing w:after="140" w:line="276" w:lineRule="auto"/>
      </w:pPr>
      <w:r>
        <w:rPr>
          <w:rFonts w:ascii="Calibri" w:hAnsi="Calibri" w:cs="Calibri"/>
          <w:color w:val="1F2A33"/>
          <w:sz w:val="20"/>
          <w:szCs w:val="20"/>
        </w:rPr>
        <w:t xml:space="preserve">D-HUB Group has completed deemed conveyance proceedings for a substantial number of co-operative housing societies in and around Mira Road, and continues to manage a live portfolio of PMC and redevelopment-advisory engagements across the Mira-Bhayandar, Thane and wider MMR jurisdictions. Society names and individual reference contacts are withheld here in keeping with client confidentiality; verifiable references and completion records are shared directly with a Society's Managing Committee upon request during evaluation or empanelment.</w:t>
      </w:r>
    </w:p>
    <w:p>
      <w:pPr>
        <w:keepNext/>
        <w:spacing w:before="260" w:after="120"/>
      </w:pPr>
      <w:r>
        <w:rPr>
          <w:rFonts w:ascii="Calibri" w:hAnsi="Calibri" w:cs="Calibri"/>
          <w:b/>
          <w:color w:val="8A6A1E"/>
          <w:sz w:val="22"/>
          <w:szCs w:val="22"/>
        </w:rPr>
        <w:t xml:space="preserve">Representative Scope of Current Engagements</w:t>
      </w:r>
    </w:p>
    <w:p>
      <w:pPr>
        <w:numPr>
          <w:ilvl w:val="0"/>
          <w:numId w:val="2"/>
        </w:numPr>
        <w:spacing w:after="90" w:line="264" w:lineRule="auto"/>
      </w:pPr>
      <w:r>
        <w:rPr>
          <w:rFonts w:ascii="Calibri" w:hAnsi="Calibri" w:cs="Calibri"/>
          <w:color w:val="1F2A33"/>
          <w:sz w:val="20"/>
          <w:szCs w:val="20"/>
        </w:rPr>
        <w:t xml:space="preserve">7/12 discrepancy resolution, revenue record correction and self-redevelopment advisory for a housing society in Mira Road.</w:t>
      </w:r>
    </w:p>
    <w:p>
      <w:pPr>
        <w:numPr>
          <w:ilvl w:val="0"/>
          <w:numId w:val="2"/>
        </w:numPr>
        <w:spacing w:after="90" w:line="264" w:lineRule="auto"/>
      </w:pPr>
      <w:r>
        <w:rPr>
          <w:rFonts w:ascii="Calibri" w:hAnsi="Calibri" w:cs="Calibri"/>
          <w:color w:val="1F2A33"/>
          <w:sz w:val="20"/>
          <w:szCs w:val="20"/>
        </w:rPr>
        <w:t xml:space="preserve">Title verification, land-area enhancement facilitation, Urban Land Ceiling (ULC) advisory, feasibility study and tender management for a society in Bhayander (MBMC jurisdiction).</w:t>
      </w:r>
    </w:p>
    <w:p>
      <w:pPr>
        <w:numPr>
          <w:ilvl w:val="0"/>
          <w:numId w:val="2"/>
        </w:numPr>
        <w:spacing w:after="90" w:line="264" w:lineRule="auto"/>
      </w:pPr>
      <w:r>
        <w:rPr>
          <w:rFonts w:ascii="Calibri" w:hAnsi="Calibri" w:cs="Calibri"/>
          <w:color w:val="1F2A33"/>
          <w:sz w:val="20"/>
          <w:szCs w:val="20"/>
        </w:rPr>
        <w:t xml:space="preserve">Evaluation of redevelopment options — self-redevelopment and builder-led — together with project planning for a society in Mira Road.</w:t>
      </w:r>
    </w:p>
    <w:p>
      <w:pPr>
        <w:numPr>
          <w:ilvl w:val="0"/>
          <w:numId w:val="2"/>
        </w:numPr>
        <w:spacing w:after="90" w:line="264" w:lineRule="auto"/>
      </w:pPr>
      <w:r>
        <w:rPr>
          <w:rFonts w:ascii="Calibri" w:hAnsi="Calibri" w:cs="Calibri"/>
          <w:color w:val="1F2A33"/>
          <w:sz w:val="20"/>
          <w:szCs w:val="20"/>
        </w:rPr>
        <w:t xml:space="preserve">Full-cycle PMC covering redevelopment advisory, planning and stakeholder coordination for a society in the Mira Road / MBMC belt.</w:t>
      </w:r>
    </w:p>
    <w:p>
      <w:pPr>
        <w:numPr>
          <w:ilvl w:val="0"/>
          <w:numId w:val="2"/>
        </w:numPr>
        <w:spacing w:after="90" w:line="264" w:lineRule="auto"/>
      </w:pPr>
      <w:r>
        <w:rPr>
          <w:rFonts w:ascii="Calibri" w:hAnsi="Calibri" w:cs="Calibri"/>
          <w:color w:val="1F2A33"/>
          <w:sz w:val="20"/>
          <w:szCs w:val="20"/>
        </w:rPr>
        <w:t xml:space="preserve">Tender preparation and developer evaluation for a multi-unit redevelopment project in Bhayander.</w:t>
      </w:r>
    </w:p>
    <w:p>
      <w:pPr>
        <w:numPr>
          <w:ilvl w:val="0"/>
          <w:numId w:val="2"/>
        </w:numPr>
        <w:spacing w:after="90" w:line="264" w:lineRule="auto"/>
      </w:pPr>
      <w:r>
        <w:rPr>
          <w:rFonts w:ascii="Calibri" w:hAnsi="Calibri" w:cs="Calibri"/>
          <w:color w:val="1F2A33"/>
          <w:sz w:val="20"/>
          <w:szCs w:val="20"/>
        </w:rPr>
        <w:t xml:space="preserve">Ongoing redevelopment advisory and PMC evaluation for several further societies across Mira Road and MBMC jurisdiction.</w:t>
      </w:r>
    </w:p>
    <w:p>
      <w:pPr>
        <w:spacing w:after="60"/>
      </w:pPr>
      <w:r>
        <w:t xml:space="preserve"/>
      </w:r>
    </w:p>
    <w:p>
      <w:pPr>
        <w:spacing w:after="140" w:line="276" w:lineRule="auto"/>
      </w:pPr>
      <w:r>
        <w:rPr>
          <w:rFonts w:ascii="Calibri" w:hAnsi="Calibri" w:cs="Calibri"/>
          <w:color w:val="1F2A33"/>
          <w:sz w:val="20"/>
          <w:szCs w:val="20"/>
        </w:rPr>
        <w:t xml:space="preserve">Each deemed conveyance engagement typically covers revenue record verification, 7/12 scrutiny, application drafting, representation at Competent Authority hearings, and execution of the final registered conveyance deed.</w:t>
      </w:r>
    </w:p>
    <w:p>
      <w:pPr>
        <w:keepNext/>
        <w:spacing w:before="420" w:after="200"/>
        <w:pBdr>
          <w:bottom w:val="single" w:sz="12" w:space="6" w:color="C8952E"/>
        </w:pBdr>
      </w:pPr>
      <w:r>
        <w:rPr>
          <w:rFonts w:ascii="Calibri" w:hAnsi="Calibri" w:cs="Calibri"/>
          <w:b/>
          <w:color w:val="082A40"/>
          <w:sz w:val="30"/>
          <w:szCs w:val="30"/>
        </w:rPr>
        <w:t xml:space="preserve">5.  WHY CHOOSE THE D-HUB TEAM</w:t>
      </w:r>
    </w:p>
    <w:p>
      <w:pPr>
        <w:spacing w:after="140" w:line="276" w:lineRule="auto"/>
      </w:pPr>
      <w:r>
        <w:rPr>
          <w:rFonts w:ascii="Calibri" w:hAnsi="Calibri" w:cs="Calibri"/>
          <w:color w:val="1F2A33"/>
          <w:sz w:val="20"/>
          <w:szCs w:val="20"/>
        </w:rPr>
        <w:t xml:space="preserve">Every decision we make is guided by one principle: the best outcome for the Society and its members.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Society-First, Always: </w:t>
      </w:r>
      <w:r>
        <w:rPr>
          <w:rFonts w:ascii="Calibri" w:hAnsi="Calibri" w:cs="Calibri"/>
          <w:color w:val="1F2A33"/>
          <w:sz w:val="20"/>
          <w:szCs w:val="20"/>
        </w:rPr>
        <w:t xml:space="preserve">We represent the Society — never the builder or developer. Our mandate is exclusively to protect member interests, maximise entitlements, and ensure full transparency at every stage of the redevelopment journey.</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Integrated Multi-Discipline Team: </w:t>
      </w:r>
      <w:r>
        <w:rPr>
          <w:rFonts w:ascii="Calibri" w:hAnsi="Calibri" w:cs="Calibri"/>
          <w:color w:val="1F2A33"/>
          <w:sz w:val="20"/>
          <w:szCs w:val="20"/>
        </w:rPr>
        <w:t xml:space="preserve">PMC, architecture (COA-registered), legal counsel and structural engineering — all under one umbrella, removing the need for a Society to coordinate multiple consultants across different firms.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Established Deemed Conveyance Expertise: </w:t>
      </w:r>
      <w:r>
        <w:rPr>
          <w:rFonts w:ascii="Calibri" w:hAnsi="Calibri" w:cs="Calibri"/>
          <w:color w:val="1F2A33"/>
          <w:sz w:val="20"/>
          <w:szCs w:val="20"/>
        </w:rPr>
        <w:t xml:space="preserve">Deep, locally-grounded experience in title resolution, revenue record clearance and Competent Authority proceedings under MOFA Section 11.</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Real-Time Policy Intelligence: </w:t>
      </w:r>
      <w:r>
        <w:rPr>
          <w:rFonts w:ascii="Calibri" w:hAnsi="Calibri" w:cs="Calibri"/>
          <w:color w:val="1F2A33"/>
          <w:sz w:val="20"/>
          <w:szCs w:val="20"/>
        </w:rPr>
        <w:t xml:space="preserve">Editorial oversight of Housing &amp; Property Times provides real-time visibility into MahaRERA developments, DCPR/UDCPR amendments, builder market trends and redevelopment regulatory changes — applied directly to client strategy.</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Local Presence, Local Accountability: </w:t>
      </w:r>
      <w:r>
        <w:rPr>
          <w:rFonts w:ascii="Calibri" w:hAnsi="Calibri" w:cs="Calibri"/>
          <w:color w:val="1F2A33"/>
          <w:sz w:val="20"/>
          <w:szCs w:val="20"/>
        </w:rPr>
        <w:t xml:space="preserve">Based in Mira Road and locally accountable: the Managing Committee can meet us, review our work, and hold us responsible — we are neighbours and committed partners, not a distant city firm.</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Transparent, Documented Processes: </w:t>
      </w:r>
      <w:r>
        <w:rPr>
          <w:rFonts w:ascii="Calibri" w:hAnsi="Calibri" w:cs="Calibri"/>
          <w:color w:val="1F2A33"/>
          <w:sz w:val="20"/>
          <w:szCs w:val="20"/>
        </w:rPr>
        <w:t xml:space="preserve">Every recommendation, evaluation and milestone is documented. Societies receive written progress reports, comparative analysis sheets and structured presentations — never verbal-only advice.</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Proven Under Pressure: </w:t>
      </w:r>
      <w:r>
        <w:rPr>
          <w:rFonts w:ascii="Calibri" w:hAnsi="Calibri" w:cs="Calibri"/>
          <w:color w:val="1F2A33"/>
          <w:sz w:val="20"/>
          <w:szCs w:val="20"/>
        </w:rPr>
        <w:t xml:space="preserve">Experience successfully navigating complex title disputes, ULC challenges, 7/12 discrepancies, cluster-redevelopment evaluations, and MOFA Section 11 rejoinder proceedings for societies with limited budgets.</w:t>
      </w:r>
    </w:p>
    <w:p>
      <w:pPr>
        <w:spacing w:after="110" w:line="264" w:lineRule="auto"/>
        <w:ind w:left="460" w:hanging="260"/>
      </w:pPr>
      <w:r>
        <w:rPr>
          <w:rFonts w:ascii="Calibri" w:hAnsi="Calibri" w:cs="Calibri"/>
          <w:b/>
          <w:color w:val="8A6A1E"/>
          <w:sz w:val="20"/>
          <w:szCs w:val="20"/>
        </w:rPr>
        <w:t xml:space="preserve">▸  </w:t>
      </w:r>
      <w:r>
        <w:rPr>
          <w:rFonts w:ascii="Calibri" w:hAnsi="Calibri" w:cs="Calibri"/>
          <w:b/>
          <w:color w:val="082A40"/>
          <w:sz w:val="20"/>
          <w:szCs w:val="20"/>
        </w:rPr>
        <w:t xml:space="preserve">Full Statutory Compliance: </w:t>
      </w:r>
      <w:r>
        <w:rPr>
          <w:rFonts w:ascii="Calibri" w:hAnsi="Calibri" w:cs="Calibri"/>
          <w:color w:val="1F2A33"/>
          <w:sz w:val="20"/>
          <w:szCs w:val="20"/>
        </w:rPr>
        <w:t xml:space="preserve">All engagements are structured in compliance with MOFA, the MCS Act, MahaRERA, DCPR 2034, UDCPR 2020 and relevant revenue-record laws, protecting the Society's interests from Day 1.</w:t>
      </w:r>
    </w:p>
    <w:p>
      <w:r>
        <w:br w:type="page"/>
      </w:r>
    </w:p>
    <w:p>
      <w:pPr>
        <w:keepNext/>
        <w:spacing w:before="420" w:after="200"/>
        <w:pBdr>
          <w:bottom w:val="single" w:sz="12" w:space="6" w:color="C8952E"/>
        </w:pBdr>
      </w:pPr>
      <w:r>
        <w:rPr>
          <w:rFonts w:ascii="Calibri" w:hAnsi="Calibri" w:cs="Calibri"/>
          <w:b/>
          <w:color w:val="082A40"/>
          <w:sz w:val="30"/>
          <w:szCs w:val="30"/>
        </w:rPr>
        <w:t xml:space="preserve">6.  REGULATORY EXPERTISE &amp; FRAMEWORKS</w:t>
      </w:r>
    </w:p>
    <w:p>
      <w:pPr>
        <w:spacing w:after="140" w:line="276" w:lineRule="auto"/>
      </w:pPr>
      <w:r>
        <w:rPr>
          <w:rFonts w:ascii="Calibri" w:hAnsi="Calibri" w:cs="Calibri"/>
          <w:color w:val="1F2A33"/>
          <w:sz w:val="20"/>
          <w:szCs w:val="20"/>
        </w:rPr>
        <w:t xml:space="preserve">The D-HUB team is conversant with, and practises actively under, the following statutory and regulatory frameworks:</w:t>
      </w:r>
    </w:p>
    <w:tbl>
      <w:tblPr>
        <w:tblW w:w="9400" w:type="dxa"/>
        <w:tblBorders>
          <w:top w:val="single" w:sz="4" w:color="D7DCE0"/>
          <w:left w:val="single" w:sz="4" w:color="D7DCE0"/>
          <w:bottom w:val="single" w:sz="4" w:color="D7DCE0"/>
          <w:right w:val="single" w:sz="4" w:color="D7DCE0"/>
          <w:insideH w:val="single" w:sz="4" w:color="D7DCE0"/>
          <w:insideV w:val="single" w:sz="4" w:color="D7DCE0"/>
        </w:tblBorders>
        <w:tblLayout w:type="fixed"/>
      </w:tblPr>
      <w:tblGrid>
        <w:gridCol w:w="2400"/>
        <w:gridCol w:w="7000"/>
      </w:tblGrid>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DCPR 2034</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Development Control &amp; Promotion Regulations, 2034 — applicable to BMC jurisdiction projects.</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UDCPR 2020</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Unified Development Control &amp; Promotion Regulations, 2020 — applicable to MBMC, TMC and other non-BMC jurisdictions.</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MahaRERA Act, 2016</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Maharashtra Real Estate (Regulation and Development) Act, 2016.</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MOFA, 1963</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Maharashtra Ownership Flats Act, 1963 — governing redevelopment, Section 11 deemed conveyance, and promoter/society obligations.</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MCS Act, 1960</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Maharashtra Co-operative Societies Act, 1960 — CHS formation, bye-laws, redevelopment approvals and Competent Authority proceedings.</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ULC Act (Advisory)</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Urban Land (Ceiling and Regulation) Act, 1976 — post-repeal legacy title and advisory matters.</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Revenue Records (7/12)</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Land records under the Maharashtra Land Revenue Code — title verification, mutation and discrepancy resolution.</w:t>
            </w:r>
          </w:p>
        </w:tc>
      </w:tr>
      <w:tr>
        <w:tc>
          <w:tcPr>
            <w:tcW w:w="24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MahaRERA Recovery</w:t>
            </w:r>
          </w:p>
        </w:tc>
        <w:tc>
          <w:tcPr>
            <w:tcW w:w="70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MahaRERA Section 40 recovery applications and enforcement proceedings on behalf of homebuyers and societies.</w:t>
            </w:r>
          </w:p>
        </w:tc>
      </w:tr>
    </w:tbl>
    <w:p>
      <w:pPr>
        <w:keepNext/>
        <w:spacing w:before="420" w:after="200"/>
        <w:pBdr>
          <w:bottom w:val="single" w:sz="12" w:space="6" w:color="C8952E"/>
        </w:pBdr>
      </w:pPr>
      <w:r>
        <w:rPr>
          <w:rFonts w:ascii="Calibri" w:hAnsi="Calibri" w:cs="Calibri"/>
          <w:b/>
          <w:color w:val="082A40"/>
          <w:sz w:val="30"/>
          <w:szCs w:val="30"/>
        </w:rPr>
        <w:t xml:space="preserve">7.  STATUTORY CREDENTIALS &amp; REGISTRATIONS</w:t>
      </w:r>
    </w:p>
    <w:tbl>
      <w:tblPr>
        <w:tblW w:w="9400" w:type="dxa"/>
        <w:tblBorders>
          <w:top w:val="single" w:sz="4" w:color="D7DCE0"/>
          <w:left w:val="single" w:sz="4" w:color="D7DCE0"/>
          <w:bottom w:val="single" w:sz="4" w:color="D7DCE0"/>
          <w:right w:val="single" w:sz="4" w:color="D7DCE0"/>
          <w:insideH w:val="single" w:sz="4" w:color="D7DCE0"/>
          <w:insideV w:val="single" w:sz="4" w:color="D7DCE0"/>
        </w:tblBorders>
        <w:tblLayout w:type="fixed"/>
      </w:tblPr>
      <w:tblGrid>
        <w:gridCol w:w="3200"/>
        <w:gridCol w:w="6200"/>
      </w:tblGrid>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Entity Name (Practice Arm)</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D-HUB Project Management Consultancy</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Entity Type</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Proprietorship Firm  |  Founder &amp; Principal: Dr. Danish Lambe (BA, MA, PhD)</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Registered Co-Equal Entity</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D-Future Hub LLP</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LLPIN</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ACS-9142  (verifiable at the MCA portal — www.mca.gov.in)</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PAN (LLP)</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AAZFD0304R</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GST</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Turnover currently below the GST registration threshold under the CGST Act, 2017; declaration available on request.</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COA Registration</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CA/2016/80464  |  Ar. Mohammed K. Mehsaniya  |  Council of Architecture, Government of India</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Legal Consultant</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Adv. Amreen Karimi — 20+ years practice, Mira-Bhayandar Bar</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Structural Engineer</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Er. Abid Behlim — 10 years' experience, structural audits &amp; redevelopment feasibility</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Media / Editorial</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Housing &amp; Property Times  |  Reg. No. MHBIL/26/A0022  |  English &amp; Marathi weekly  |  Editor-in-Chief &amp; Publisher: Dr. Danish Lambe</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Registered Address</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SH 2/A, Universe Darshan CHS, Naya Nagar, Mira Road (East), Thane – 401107, Maharashtra</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Phone / WhatsApp</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+91 80973 81503</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E-mail</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admin@dhubgroup.in</w:t>
            </w:r>
          </w:p>
        </w:tc>
      </w:tr>
      <w:tr>
        <w:tc>
          <w:tcPr>
            <w:tcW w:w="3200" w:type="dxa"/>
            <w:shd w:val="clear" w:color="auto" w:fill="F2F4F6"/>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b/>
                <w:color w:val="082A40"/>
                <w:sz w:val="18"/>
                <w:szCs w:val="18"/>
              </w:rPr>
              <w:t xml:space="preserve">Website</w:t>
            </w:r>
          </w:p>
        </w:tc>
        <w:tc>
          <w:tcPr>
            <w:tcW w:w="6200" w:type="dxa"/>
            <w:vAlign w:val="center"/>
            <w:tcBorders>
              <w:top w:val="single" w:sz="4" w:space="0" w:color="D7DCE0"/>
              <w:left w:val="single" w:sz="4" w:space="0" w:color="D7DCE0"/>
              <w:bottom w:val="single" w:sz="4" w:space="0" w:color="D7DCE0"/>
              <w:right w:val="single" w:sz="4" w:space="0" w:color="D7DCE0"/>
            </w:tcBorders>
            <w:tcMar>
              <w:top w:w="120" w:type="dxa"/>
              <w:left w:w="150" w:type="dxa"/>
              <w:bottom w:w="120" w:type="dxa"/>
              <w:right w:w="150" w:type="dxa"/>
            </w:tcMar>
          </w:tcPr>
          <w:p>
            <w:r>
              <w:rPr>
                <w:rFonts w:ascii="Calibri" w:hAnsi="Calibri" w:cs="Calibri"/>
                <w:color w:val="1F2A33"/>
                <w:sz w:val="18"/>
                <w:szCs w:val="18"/>
              </w:rPr>
              <w:t xml:space="preserve">www.dhubgroup.in</w:t>
            </w:r>
          </w:p>
        </w:tc>
      </w:tr>
    </w:tbl>
    <w:p>
      <w:r>
        <w:br w:type="page"/>
      </w:r>
    </w:p>
    <w:p>
      <w:pPr>
        <w:keepNext/>
        <w:spacing w:before="420" w:after="200"/>
        <w:pBdr>
          <w:bottom w:val="single" w:sz="12" w:space="6" w:color="C8952E"/>
        </w:pBdr>
      </w:pPr>
      <w:r>
        <w:rPr>
          <w:rFonts w:ascii="Calibri" w:hAnsi="Calibri" w:cs="Calibri"/>
          <w:b/>
          <w:color w:val="082A40"/>
          <w:sz w:val="30"/>
          <w:szCs w:val="30"/>
        </w:rPr>
        <w:t xml:space="preserve">8.  DECLARATION</w:t>
      </w:r>
    </w:p>
    <w:p>
      <w:pPr>
        <w:spacing w:after="140" w:line="276" w:lineRule="auto"/>
      </w:pPr>
      <w:r>
        <w:rPr>
          <w:rFonts w:ascii="Calibri" w:hAnsi="Calibri" w:cs="Calibri"/>
          <w:color w:val="1F2A33"/>
          <w:sz w:val="20"/>
          <w:szCs w:val="20"/>
        </w:rPr>
        <w:t xml:space="preserve">We, D-HUB Project Management Consultancy and D-Future Hub LLP (collectively, “D-HUB Group”), hereby solemnly declare that:</w:t>
      </w:r>
    </w:p>
    <w:p>
      <w:pPr>
        <w:numPr>
          <w:ilvl w:val="0"/>
          <w:numId w:val="2"/>
        </w:numPr>
        <w:spacing w:after="90" w:line="264" w:lineRule="auto"/>
      </w:pPr>
      <w:r>
        <w:rPr>
          <w:rFonts w:ascii="Calibri" w:hAnsi="Calibri" w:cs="Calibri"/>
          <w:color w:val="1F2A33"/>
          <w:sz w:val="20"/>
          <w:szCs w:val="20"/>
        </w:rPr>
        <w:t xml:space="preserve">All information, credentials and team details in this profile are true, accurate and verifiable to the best of our knowledge and belief.</w:t>
      </w:r>
    </w:p>
    <w:p>
      <w:pPr>
        <w:numPr>
          <w:ilvl w:val="0"/>
          <w:numId w:val="2"/>
        </w:numPr>
        <w:spacing w:after="90" w:line="264" w:lineRule="auto"/>
      </w:pPr>
      <w:r>
        <w:rPr>
          <w:rFonts w:ascii="Calibri" w:hAnsi="Calibri" w:cs="Calibri"/>
          <w:color w:val="1F2A33"/>
          <w:sz w:val="20"/>
          <w:szCs w:val="20"/>
        </w:rPr>
        <w:t xml:space="preserve">All team members named herein hold the qualifications and registrations stated.</w:t>
      </w:r>
    </w:p>
    <w:p>
      <w:pPr>
        <w:numPr>
          <w:ilvl w:val="0"/>
          <w:numId w:val="2"/>
        </w:numPr>
        <w:spacing w:after="90" w:line="264" w:lineRule="auto"/>
      </w:pPr>
      <w:r>
        <w:rPr>
          <w:rFonts w:ascii="Calibri" w:hAnsi="Calibri" w:cs="Calibri"/>
          <w:color w:val="1F2A33"/>
          <w:sz w:val="20"/>
          <w:szCs w:val="20"/>
        </w:rPr>
        <w:t xml:space="preserve">We have not suppressed any material fact that may affect the professional assessment of our firm.</w:t>
      </w:r>
    </w:p>
    <w:p>
      <w:pPr>
        <w:numPr>
          <w:ilvl w:val="0"/>
          <w:numId w:val="2"/>
        </w:numPr>
        <w:spacing w:after="90" w:line="264" w:lineRule="auto"/>
      </w:pPr>
      <w:r>
        <w:rPr>
          <w:rFonts w:ascii="Calibri" w:hAnsi="Calibri" w:cs="Calibri"/>
          <w:color w:val="1F2A33"/>
          <w:sz w:val="20"/>
          <w:szCs w:val="20"/>
        </w:rPr>
        <w:t xml:space="preserve">We undertake to provide additional documents, clarifications or supporting evidence as required during any evaluation process.</w:t>
      </w:r>
    </w:p>
    <w:p>
      <w:pPr>
        <w:numPr>
          <w:ilvl w:val="0"/>
          <w:numId w:val="2"/>
        </w:numPr>
        <w:spacing w:after="90" w:line="264" w:lineRule="auto"/>
      </w:pPr>
      <w:r>
        <w:rPr>
          <w:rFonts w:ascii="Calibri" w:hAnsi="Calibri" w:cs="Calibri"/>
          <w:color w:val="1F2A33"/>
          <w:sz w:val="20"/>
          <w:szCs w:val="20"/>
        </w:rPr>
        <w:t xml:space="preserve">This profile is submitted in good faith for the benefit of Co-operative Housing Societies seeking professional PMC engagement.</w:t>
      </w:r>
    </w:p>
    <w:p>
      <w:pPr>
        <w:spacing w:after="360"/>
      </w:pPr>
      <w:r>
        <w:t xml:space="preserve"/>
      </w:r>
    </w:p>
    <w:p>
      <w:pPr>
        <w:spacing w:after="380"/>
      </w:pPr>
      <w:r>
        <w:rPr>
          <w:rFonts w:ascii="Calibri" w:hAnsi="Calibri" w:cs="Calibri"/>
          <w:color w:val="5B6B76"/>
          <w:sz w:val="18"/>
          <w:szCs w:val="18"/>
        </w:rPr>
        <w:t xml:space="preserve">Authorised Signatory:</w:t>
      </w:r>
    </w:p>
    <w:p>
      <w:pPr>
        <w:spacing w:after="40"/>
      </w:pPr>
      <w:r>
        <w:rPr>
          <w:rFonts w:ascii="Calibri" w:hAnsi="Calibri" w:cs="Calibri"/>
          <w:color w:val="1F2A33"/>
          <w:sz w:val="20"/>
          <w:szCs w:val="20"/>
        </w:rPr>
        <w:t xml:space="preserve">__________________________________</w:t>
      </w:r>
    </w:p>
    <w:p>
      <w:pPr>
        <w:spacing w:after="20"/>
      </w:pPr>
      <w:r>
        <w:rPr>
          <w:rFonts w:ascii="Calibri" w:hAnsi="Calibri" w:cs="Calibri"/>
          <w:b/>
          <w:color w:val="082A40"/>
          <w:sz w:val="20"/>
          <w:szCs w:val="20"/>
        </w:rPr>
        <w:t xml:space="preserve">Dr. Danish Lambe</w:t>
      </w:r>
    </w:p>
    <w:p>
      <w:pPr>
        <w:spacing w:after="20"/>
      </w:pPr>
      <w:r>
        <w:rPr>
          <w:rFonts w:ascii="Calibri" w:hAnsi="Calibri" w:cs="Calibri"/>
          <w:i/>
          <w:color w:val="5B6B76"/>
          <w:sz w:val="18"/>
          <w:szCs w:val="18"/>
        </w:rPr>
        <w:t xml:space="preserve">Team Leader &amp; Principal Project Management Consultant</w:t>
      </w:r>
    </w:p>
    <w:p>
      <w:pPr>
        <w:spacing w:after="20"/>
      </w:pPr>
      <w:r>
        <w:rPr>
          <w:rFonts w:ascii="Calibri" w:hAnsi="Calibri" w:cs="Calibri"/>
          <w:i/>
          <w:color w:val="5B6B76"/>
          <w:sz w:val="17"/>
          <w:szCs w:val="17"/>
        </w:rPr>
        <w:t xml:space="preserve">BA, MA, PhD (Political Science)  |  Editor-in-Chief &amp; Publisher, Housing &amp; Property Times</w:t>
      </w:r>
    </w:p>
    <w:p>
      <w:pPr>
        <w:spacing w:after="0"/>
      </w:pPr>
      <w:r>
        <w:rPr>
          <w:rFonts w:ascii="Calibri" w:hAnsi="Calibri" w:cs="Calibri"/>
          <w:i/>
          <w:color w:val="5B6B76"/>
          <w:sz w:val="17"/>
          <w:szCs w:val="17"/>
        </w:rPr>
        <w:t xml:space="preserve">D-HUB Team  |  D-HUB Project Management Consultancy &amp; D-Future Hub LLP  |  Mira Road (East), Thane – 401107</w:t>
      </w:r>
    </w:p>
    <w:p>
      <w:r>
        <w:br w:type="page"/>
      </w:r>
    </w:p>
    <w:p>
      <w:pPr>
        <w:keepNext/>
        <w:spacing w:before="420" w:after="200"/>
        <w:pBdr>
          <w:bottom w:val="single" w:sz="12" w:space="6" w:color="C8952E"/>
        </w:pBdr>
      </w:pPr>
      <w:r>
        <w:rPr>
          <w:rFonts w:ascii="Calibri" w:hAnsi="Calibri" w:cs="Calibri"/>
          <w:b/>
          <w:color w:val="082A40"/>
          <w:sz w:val="30"/>
          <w:szCs w:val="30"/>
        </w:rPr>
        <w:t xml:space="preserve">9.  CONTACT US</w:t>
      </w:r>
    </w:p>
    <w:p>
      <w:pPr>
        <w:spacing w:after="140" w:line="276" w:lineRule="auto"/>
      </w:pPr>
      <w:r>
        <w:rPr>
          <w:rFonts w:ascii="Calibri" w:hAnsi="Calibri" w:cs="Calibri"/>
          <w:color w:val="1F2A33"/>
          <w:sz w:val="20"/>
          <w:szCs w:val="20"/>
        </w:rPr>
        <w:t xml:space="preserve">Ready to protect your Society's interests in its redevelopment or deemed conveyance matter? The D-HUB team welcomes a no-obligation consultation.</w:t>
      </w:r>
    </w:p>
    <w:tbl>
      <w:tblPr>
        <w:tblW w:w="9400" w:type="dxa"/>
        <w:tblBorders>
          <w:top w:val="single" w:sz="4" w:color="D7DCE0"/>
          <w:left w:val="single" w:sz="4" w:color="D7DCE0"/>
          <w:bottom w:val="single" w:sz="4" w:color="D7DCE0"/>
          <w:right w:val="single" w:sz="4" w:color="D7DCE0"/>
          <w:insideH w:val="single" w:sz="4" w:color="D7DCE0"/>
          <w:insideV w:val="single" w:sz="4" w:color="D7DCE0"/>
        </w:tblBorders>
        <w:tblLayout w:type="fixed"/>
      </w:tblPr>
      <w:tblGrid>
        <w:gridCol w:w="9400"/>
      </w:tblGrid>
      <w:tr>
        <w:tc>
          <w:tcPr>
            <w:tcW w:w="9400" w:type="dxa"/>
            <w:shd w:val="clear" w:color="auto" w:fill="082A40"/>
            <w:vAlign w:val="center"/>
            <w:tcMar>
              <w:top w:w="120" w:type="dxa"/>
              <w:left w:w="150" w:type="dxa"/>
              <w:bottom w:w="120" w:type="dxa"/>
              <w:right w:w="150" w:type="dxa"/>
            </w:tcMar>
          </w:tcPr>
          <w:p>
            <w:pPr>
              <w:spacing w:after="80"/>
            </w:pPr>
            <w:r>
              <w:rPr>
                <w:rFonts w:ascii="Calibri" w:hAnsi="Calibri" w:cs="Calibri"/>
                <w:b/>
                <w:color w:val="FFFFFF"/>
                <w:sz w:val="24"/>
                <w:szCs w:val="24"/>
              </w:rPr>
              <w:t xml:space="preserve">D-HUB GROUP</w:t>
            </w:r>
          </w:p>
          <w:p>
            <w:pPr>
              <w:spacing w:after="180"/>
            </w:pPr>
            <w:r>
              <w:rPr>
                <w:rFonts w:ascii="Calibri" w:hAnsi="Calibri" w:cs="Calibri"/>
                <w:color w:val="DCE6EC"/>
                <w:sz w:val="17"/>
                <w:szCs w:val="17"/>
              </w:rPr>
              <w:t xml:space="preserve">D-HUB Project Management Consultancy  |  D-Future Hub LLP (LLPIN: ACS-9142)</w:t>
            </w:r>
          </w:p>
          <w:p>
            <w:pPr>
              <w:spacing w:after="60"/>
            </w:pPr>
            <w:r>
              <w:rPr>
                <w:rFonts w:ascii="Calibri" w:hAnsi="Calibri" w:cs="Calibri"/>
                <w:b/>
                <w:color w:val="FFFFFF"/>
                <w:sz w:val="18"/>
                <w:szCs w:val="18"/>
              </w:rPr>
              <w:t xml:space="preserve">Phone / WhatsApp:  </w:t>
            </w:r>
            <w:r>
              <w:rPr>
                <w:rFonts w:ascii="Calibri" w:hAnsi="Calibri" w:cs="Calibri"/>
                <w:color w:val="DCE6EC"/>
                <w:sz w:val="18"/>
                <w:szCs w:val="18"/>
              </w:rPr>
              <w:t xml:space="preserve">+91 80973 81503</w:t>
            </w:r>
          </w:p>
          <w:p>
            <w:pPr>
              <w:spacing w:after="60"/>
            </w:pPr>
            <w:r>
              <w:rPr>
                <w:rFonts w:ascii="Calibri" w:hAnsi="Calibri" w:cs="Calibri"/>
                <w:b/>
                <w:color w:val="FFFFFF"/>
                <w:sz w:val="18"/>
                <w:szCs w:val="18"/>
              </w:rPr>
              <w:t xml:space="preserve">E-mail:  </w:t>
            </w:r>
            <w:r>
              <w:rPr>
                <w:rFonts w:ascii="Calibri" w:hAnsi="Calibri" w:cs="Calibri"/>
                <w:color w:val="DCE6EC"/>
                <w:sz w:val="18"/>
                <w:szCs w:val="18"/>
              </w:rPr>
              <w:t xml:space="preserve">admin@dhubgroup.in</w:t>
            </w:r>
          </w:p>
          <w:p>
            <w:pPr>
              <w:spacing w:after="60"/>
            </w:pPr>
            <w:r>
              <w:rPr>
                <w:rFonts w:ascii="Calibri" w:hAnsi="Calibri" w:cs="Calibri"/>
                <w:b/>
                <w:color w:val="FFFFFF"/>
                <w:sz w:val="18"/>
                <w:szCs w:val="18"/>
              </w:rPr>
              <w:t xml:space="preserve">Website:  </w:t>
            </w:r>
            <w:r>
              <w:rPr>
                <w:rFonts w:ascii="Calibri" w:hAnsi="Calibri" w:cs="Calibri"/>
                <w:color w:val="DCE6EC"/>
                <w:sz w:val="18"/>
                <w:szCs w:val="18"/>
              </w:rPr>
              <w:t xml:space="preserve">www.dhubgroup.in</w:t>
            </w:r>
          </w:p>
          <w:p>
            <w:r>
              <w:rPr>
                <w:rFonts w:ascii="Calibri" w:hAnsi="Calibri" w:cs="Calibri"/>
                <w:b/>
                <w:color w:val="FFFFFF"/>
                <w:sz w:val="18"/>
                <w:szCs w:val="18"/>
              </w:rPr>
              <w:t xml:space="preserve">Address:  </w:t>
            </w:r>
            <w:r>
              <w:rPr>
                <w:rFonts w:ascii="Calibri" w:hAnsi="Calibri" w:cs="Calibri"/>
                <w:color w:val="DCE6EC"/>
                <w:sz w:val="18"/>
                <w:szCs w:val="18"/>
              </w:rPr>
              <w:t xml:space="preserve">SH 2/A, Universe Darshan CHS, Naya Nagar, Mira Road (East), Thane – 401107, Maharashtra</w:t>
            </w:r>
          </w:p>
        </w:tc>
      </w:tr>
    </w:tbl>
    <w:p>
      <w:pPr>
        <w:spacing w:after="200"/>
      </w:pPr>
      <w:r>
        <w:t xml:space="preserve"/>
      </w:r>
    </w:p>
    <w:p>
      <w:pPr>
        <w:keepNext/>
        <w:spacing w:before="260" w:after="120"/>
      </w:pPr>
      <w:r>
        <w:rPr>
          <w:rFonts w:ascii="Calibri" w:hAnsi="Calibri" w:cs="Calibri"/>
          <w:b/>
          <w:color w:val="8A6A1E"/>
          <w:sz w:val="22"/>
          <w:szCs w:val="22"/>
        </w:rPr>
        <w:t xml:space="preserve">Areas of Service</w:t>
      </w:r>
    </w:p>
    <w:p>
      <w:pPr>
        <w:numPr>
          <w:ilvl w:val="0"/>
          <w:numId w:val="2"/>
        </w:numPr>
        <w:spacing w:after="90" w:line="264" w:lineRule="auto"/>
      </w:pPr>
      <w:r>
        <w:rPr>
          <w:rFonts w:ascii="Calibri" w:hAnsi="Calibri" w:cs="Calibri"/>
          <w:color w:val="1F2A33"/>
          <w:sz w:val="20"/>
          <w:szCs w:val="20"/>
        </w:rPr>
        <w:t xml:space="preserve">Mira-Bhayandar (MBMC jurisdiction)</w:t>
      </w:r>
    </w:p>
    <w:p>
      <w:pPr>
        <w:numPr>
          <w:ilvl w:val="0"/>
          <w:numId w:val="2"/>
        </w:numPr>
        <w:spacing w:after="90" w:line="264" w:lineRule="auto"/>
      </w:pPr>
      <w:r>
        <w:rPr>
          <w:rFonts w:ascii="Calibri" w:hAnsi="Calibri" w:cs="Calibri"/>
          <w:color w:val="1F2A33"/>
          <w:sz w:val="20"/>
          <w:szCs w:val="20"/>
        </w:rPr>
        <w:t xml:space="preserve">Thane Municipal Corporation (TMC)</w:t>
      </w:r>
    </w:p>
    <w:p>
      <w:pPr>
        <w:numPr>
          <w:ilvl w:val="0"/>
          <w:numId w:val="2"/>
        </w:numPr>
        <w:spacing w:after="90" w:line="264" w:lineRule="auto"/>
      </w:pPr>
      <w:r>
        <w:rPr>
          <w:rFonts w:ascii="Calibri" w:hAnsi="Calibri" w:cs="Calibri"/>
          <w:color w:val="1F2A33"/>
          <w:sz w:val="20"/>
          <w:szCs w:val="20"/>
        </w:rPr>
        <w:t xml:space="preserve">Brihanmumbai Municipal Corporation (BMC)</w:t>
      </w:r>
    </w:p>
    <w:p>
      <w:pPr>
        <w:numPr>
          <w:ilvl w:val="0"/>
          <w:numId w:val="2"/>
        </w:numPr>
        <w:spacing w:after="90" w:line="264" w:lineRule="auto"/>
      </w:pPr>
      <w:r>
        <w:rPr>
          <w:rFonts w:ascii="Calibri" w:hAnsi="Calibri" w:cs="Calibri"/>
          <w:color w:val="1F2A33"/>
          <w:sz w:val="20"/>
          <w:szCs w:val="20"/>
        </w:rPr>
        <w:t xml:space="preserve">Mumbai Metropolitan Region (MMR) — as required</w:t>
      </w:r>
    </w:p>
    <w:p>
      <w:pPr>
        <w:keepNext/>
        <w:spacing w:before="260" w:after="120"/>
      </w:pPr>
      <w:r>
        <w:rPr>
          <w:rFonts w:ascii="Calibri" w:hAnsi="Calibri" w:cs="Calibri"/>
          <w:b/>
          <w:color w:val="8A6A1E"/>
          <w:sz w:val="22"/>
          <w:szCs w:val="22"/>
        </w:rPr>
        <w:t xml:space="preserve">Annexures Available on Request</w:t>
      </w:r>
    </w:p>
    <w:p>
      <w:pPr>
        <w:numPr>
          <w:ilvl w:val="0"/>
          <w:numId w:val="2"/>
        </w:numPr>
        <w:spacing w:after="90" w:line="264" w:lineRule="auto"/>
      </w:pPr>
      <w:r>
        <w:rPr>
          <w:rFonts w:ascii="Calibri" w:hAnsi="Calibri" w:cs="Calibri"/>
          <w:color w:val="1F2A33"/>
          <w:sz w:val="20"/>
          <w:szCs w:val="20"/>
        </w:rPr>
        <w:t xml:space="preserve">D-Future Hub LLP registration certificate (LLPIN: ACS-9142)</w:t>
      </w:r>
    </w:p>
    <w:p>
      <w:pPr>
        <w:numPr>
          <w:ilvl w:val="0"/>
          <w:numId w:val="2"/>
        </w:numPr>
        <w:spacing w:after="90" w:line="264" w:lineRule="auto"/>
      </w:pPr>
      <w:r>
        <w:rPr>
          <w:rFonts w:ascii="Calibri" w:hAnsi="Calibri" w:cs="Calibri"/>
          <w:color w:val="1F2A33"/>
          <w:sz w:val="20"/>
          <w:szCs w:val="20"/>
        </w:rPr>
        <w:t xml:space="preserve">PAN card — D-Future Hub LLP (AAZFD0304R)</w:t>
      </w:r>
    </w:p>
    <w:p>
      <w:pPr>
        <w:numPr>
          <w:ilvl w:val="0"/>
          <w:numId w:val="2"/>
        </w:numPr>
        <w:spacing w:after="90" w:line="264" w:lineRule="auto"/>
      </w:pPr>
      <w:r>
        <w:rPr>
          <w:rFonts w:ascii="Calibri" w:hAnsi="Calibri" w:cs="Calibri"/>
          <w:color w:val="1F2A33"/>
          <w:sz w:val="20"/>
          <w:szCs w:val="20"/>
        </w:rPr>
        <w:t xml:space="preserve">COA registration certificate — Ar. Mohammed K. Mehsaniya (CA/2016/80464)</w:t>
      </w:r>
    </w:p>
    <w:p>
      <w:pPr>
        <w:numPr>
          <w:ilvl w:val="0"/>
          <w:numId w:val="2"/>
        </w:numPr>
        <w:spacing w:after="90" w:line="264" w:lineRule="auto"/>
      </w:pPr>
      <w:r>
        <w:rPr>
          <w:rFonts w:ascii="Calibri" w:hAnsi="Calibri" w:cs="Calibri"/>
          <w:color w:val="1F2A33"/>
          <w:sz w:val="20"/>
          <w:szCs w:val="20"/>
        </w:rPr>
        <w:t xml:space="preserve">Reference letters from existing PMC client Societies, shared confidentially on request</w:t>
      </w:r>
    </w:p>
    <w:p>
      <w:pPr>
        <w:numPr>
          <w:ilvl w:val="0"/>
          <w:numId w:val="2"/>
        </w:numPr>
        <w:spacing w:after="90" w:line="264" w:lineRule="auto"/>
      </w:pPr>
      <w:r>
        <w:rPr>
          <w:rFonts w:ascii="Calibri" w:hAnsi="Calibri" w:cs="Calibri"/>
          <w:color w:val="1F2A33"/>
          <w:sz w:val="20"/>
          <w:szCs w:val="20"/>
        </w:rPr>
        <w:t xml:space="preserve">Deemed conveyance completion records (select cases, on request)</w:t>
      </w:r>
    </w:p>
    <w:p>
      <w:pPr>
        <w:spacing w:after="260"/>
      </w:pPr>
      <w:r>
        <w:t xml:space="preserve"/>
      </w:r>
    </w:p>
    <w:p>
      <w:pPr>
        <w:pBdr>
          <w:bottom w:val="single" w:sz="10" w:space="1" w:color="C8952E"/>
        </w:pBdr>
        <w:spacing w:after="200"/>
      </w:pPr>
    </w:p>
    <w:p>
      <w:pPr>
        <w:spacing w:after="100"/>
        <w:jc w:val="center"/>
      </w:pPr>
      <w:r>
        <w:rPr>
          <w:rFonts w:ascii="Calibri" w:hAnsi="Calibri" w:cs="Calibri"/>
          <w:b/>
          <w:i/>
          <w:color w:val="0B3D5C"/>
          <w:sz w:val="22"/>
          <w:szCs w:val="22"/>
        </w:rPr>
        <w:t xml:space="preserve">Your Society. Your Rights. Our Commitment.</w:t>
      </w:r>
    </w:p>
    <w:p>
      <w:pPr>
        <w:spacing w:after="0"/>
        <w:jc w:val="center"/>
      </w:pPr>
      <w:r>
        <w:rPr>
          <w:rFonts w:ascii="Calibri" w:hAnsi="Calibri" w:cs="Calibri"/>
          <w:color w:val="5B6B76"/>
          <w:sz w:val="17"/>
          <w:szCs w:val="17"/>
        </w:rPr>
        <w:t xml:space="preserve">+91 80973 81503   •   admin@dhubgroup.in   •   www.dhubgroup.in</w:t>
      </w:r>
    </w:p>
    <w:sectPr>
      <w:footerReference w:type="default" r:id="rIdFooter"/>
      <w:pgSz w:w="11906" w:h="16838"/>
      <w:pgMar w:top="1100" w:right="1100" w:bottom="1100" w:left="1100" w:header="720" w:footer="480" w:gutter="0"/>
    </w:sectPr>
  </w:body>
</w:document>
</file>

<file path=word/fontTable.xml><?xml version="1.0" encoding="utf-8"?>
<w:fonts xmlns:w="http://schemas.openxmlformats.org/wordprocessingml/2006/main">
  <w:font w:name="Calibri">
    <w:family w:val="swiss"/>
  </w:font>
</w:fonts>
</file>

<file path=word/footer1.xml><?xml version="1.0" encoding="utf-8"?>
<w:ftr xmlns:w="http://schemas.openxmlformats.org/wordprocessingml/2006/main">
  <w:p>
    <w:pPr>
      <w:pBdr>
        <w:top w:val="single" w:sz="4" w:space="4" w:color="D7DCE0"/>
      </w:pBdr>
      <w:tabs>
        <w:tab w:val="right" w:pos="9350"/>
      </w:tabs>
      <w:spacing w:before="80"/>
    </w:pPr>
    <w:r>
      <w:rPr>
        <w:rFonts w:ascii="Calibri" w:hAnsi="Calibri" w:cs="Calibri"/>
        <w:color w:val="5B6B76"/>
        <w:sz w:val="15"/>
        <w:szCs w:val="15"/>
      </w:rPr>
      <w:t xml:space="preserve">D-HUB Group  |  Company Profile &amp; PMC Credentials  |  Confidential</w:t>
    </w:r>
    <w:r>
      <w:tab/>
    </w:r>
    <w:r>
      <w:rPr>
        <w:rFonts w:ascii="Calibri" w:hAnsi="Calibri" w:cs="Calibri"/>
        <w:color w:val="5B6B76"/>
        <w:sz w:val="15"/>
        <w:szCs w:val="15"/>
      </w:rPr>
      <w:t xml:space="preserve">Page </w:t>
    </w:r>
    <w:r>
      <w:fldChar w:fldCharType="begin"/>
    </w:r>
    <w:r>
      <w:instrText xml:space="preserve"> PAGE </w:instrText>
    </w:r>
    <w:r>
      <w:fldChar w:fldCharType="separate"/>
    </w:r>
    <w:r>
      <w:rPr>
        <w:rFonts w:ascii="Calibri" w:hAnsi="Calibri" w:cs="Calibri"/>
        <w:color w:val="5B6B76"/>
        <w:sz w:val="15"/>
        <w:szCs w:val="15"/>
      </w:rPr>
      <w:t xml:space="preserve">1</w:t>
    </w:r>
    <w:r>
      <w:fldChar w:fldCharType="end"/>
    </w:r>
    <w:r>
      <w:rPr>
        <w:rFonts w:ascii="Calibri" w:hAnsi="Calibri" w:cs="Calibri"/>
        <w:color w:val="5B6B76"/>
        <w:sz w:val="15"/>
        <w:szCs w:val="15"/>
      </w:rPr>
      <w:t xml:space="preserve"> of </w:t>
    </w:r>
    <w:r>
      <w:fldChar w:fldCharType="begin"/>
    </w:r>
    <w:r>
      <w:instrText xml:space="preserve"> NUMPAGES </w:instrText>
    </w:r>
    <w:r>
      <w:fldChar w:fldCharType="separate"/>
    </w:r>
    <w:r>
      <w:rPr>
        <w:rFonts w:ascii="Calibri" w:hAnsi="Calibri" w:cs="Calibri"/>
        <w:color w:val="5B6B76"/>
        <w:sz w:val="15"/>
        <w:szCs w:val="15"/>
      </w:rPr>
      <w:t xml:space="preserve">1</w: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460" w:hanging="260"/>
      </w:pPr>
      <w:rPr>
        <w:rFonts w:ascii="Calibri" w:hAnsi="Calibri" w:hint="default"/>
        <w:color w:val="8A6A1E"/>
      </w:rPr>
    </w:lvl>
  </w:abstractNum>
  <w:abstractNum w:abstractNumId="1">
    <w:lvl w:ilvl="0">
      <w:start w:val="1"/>
      <w:numFmt w:val="bullet"/>
      <w:lvlText w:val="•"/>
      <w:lvlJc w:val="left"/>
      <w:pPr>
        <w:ind w:left="460" w:hanging="260"/>
      </w:pPr>
      <w:rPr>
        <w:rFonts w:ascii="Calibri" w:hAnsi="Calibri" w:hint="default"/>
        <w:color w:val="0B3D5C"/>
      </w:rPr>
    </w:lvl>
  </w:abstractNum>
  <w:num w:numId="1">
    <w:abstractNumId w:val="0"/>
  </w:num>
  <w:num w:numId="2">
    <w:abstractNumId w:val="1"/>
  </w:num>
</w:numbering>
</file>

<file path=word/settings.xml><?xml version="1.0" encoding="utf-8"?>
<w:settings xmlns:w="http://schemas.openxmlformats.org/wordprocessingml/2006/main">
  <w:defaultTabStop w:val="708"/>
  <w:updateFields w:val="true"/>
</w:settings>
</file>

<file path=word/styles.xml><?xml version="1.0" encoding="utf-8"?>
<w:styles xmlns:w="http://schemas.openxmlformats.org/wordprocessingml/2006/main">
  <w:docDefaults>
    <w:rPrDefault>
      <w:rPr>
        <w:rFonts w:ascii="Calibri" w:hAnsi="Calibri" w:cs="Calibri"/>
        <w:sz w:val="20"/>
        <w:lang w:val="en-IN"/>
      </w:rPr>
    </w:rPrDefault>
    <w:pPrDefault>
      <w:pPr>
        <w:spacing w:after="140" w:line="276" w:lineRule="auto"/>
      </w:pPr>
    </w:pPrDefault>
  </w:docDefaults>
  <w:style w:type="paragraph" w:default="1" w:styleId="Normal">
    <w:name w:val="Normal"/>
    <w:qFormat/>
  </w:style>
  <w:style w:type="character" w:default="1" w:styleId="DefaultParagraphFont">
    <w:name w:val="Default Paragraph Font"/>
  </w:style>
  <w:style w:type="table" w:default="1" w:styleId="TableNormal">
    <w:name w:val="Normal Table"/>
    <w:tblPr/>
  </w:style>
  <w:style w:type="numbering" w:default="1" w:styleId="NoList">
    <w:name w:val="No Lis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 Id="rIdFooter" Type="http://schemas.openxmlformats.org/officeDocument/2006/relationships/footer" Target="footer1.xml"/>
<Relationship Id="rIdLogo" Type="http://schemas.openxmlformats.org/officeDocument/2006/relationships/image" Target="media/logo.png"/>
</Relationships>
</file>

<file path=docProps/app.xml><?xml version="1.0" encoding="utf-8"?>
<Properties xmlns="http://schemas.openxmlformats.org/officeDocument/2006/extended-properties" xmlns:vt="http://schemas.openxmlformats.org/officeDocument/2006/docPropsVTypes">
  <Application>D-HUB Group Profile Generator</Application>
  <Company>D-HUB Group</Company>
</Properties>
</file>

<file path=docProps/core.xml><?xml version="1.0" encoding="utf-8"?>
<cp:coreProperties xmlns:cp="http://schemas.openxmlformats.org/package/2006/metadata/core-properties" xmlns:dc="http://purl.org/dc/elements/1.1/" xmlns:dcterms="http://purl.org/dc/terms/" xmlns:xsi="http://www.w3.org/2001/XMLSchema-instance">
  <dc:title>D-HUB Group — PMC &amp; Housing Redevelopment Consultancy Company Profile</dc:title>
  <dc:subject>Deemed Conveyance, CHS Redevelopment Consultancy and Project Management Consultancy (PMC) Services in Maharashtra</dc:subject>
  <dc:creator>D-HUB Group</dc:creator>
  <cp:keywords>deemed conveyance Maharashtra, MOFA Section 11, CHS redevelopment consultancy, PMC Mira Road, self-redevelopment advisory, MahaRERA compliance, DCPR 2034, UDCPR 2020, housing society redevelopment Thane, D-HUB Group</cp:keywords>
  <dc:description>Comprehensive company profile of D-HUB Group, a Mira Road (East), Thane based Project Management Consultancy for Co-operative Housing Society redevelopment, MOFA deemed conveyance, and MahaRERA/DCPR/UDCPR regulatory compliance across the Mumbai Metropolitan Region.</dc:description>
  <cp:category>Company Profile</cp:category>
  <cp:lastModifiedBy>D-HUB Group</cp:lastModifiedBy>
</cp:coreProperties>
</file>