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맑은 고딕" w:hAnsi="맑은 고딕" w:eastAsia="맑은 고딕" w:cs="맑은 고딕"/>
          <w:b/>
          <w:color w:val="002C5F"/>
          <w:sz w:val="28"/>
        </w:rPr>
        <w:t>HYUNDAI MOTOR COMPANY</w:t>
      </w:r>
    </w:p>
    <w:p>
      <w:pPr>
        <w:pBdr>
          <w:bottom w:val="single" w:sz="24" w:space="1" w:color="002C5F"/>
        </w:pBdr>
      </w:pPr>
    </w:p>
    <w:p/>
    <w:p/>
    <w:p>
      <w:pPr>
        <w:spacing w:after="160"/>
        <w:jc w:val="center"/>
      </w:pPr>
      <w:r>
        <w:rPr>
          <w:rFonts w:ascii="맑은 고딕" w:hAnsi="맑은 고딕" w:eastAsia="맑은 고딕" w:cs="맑은 고딕"/>
          <w:b/>
          <w:color w:val="002C5F"/>
          <w:sz w:val="56"/>
        </w:rPr>
        <w:t>자율주행 센서퓨전 벤치마크 보고서</w:t>
      </w:r>
    </w:p>
    <w:p>
      <w:pPr>
        <w:spacing w:after="400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8"/>
        </w:rPr>
        <w:t>Camera-LiDAR Sensor Fusion SOTA Survey &amp; 양산 적용 권고</w:t>
      </w:r>
    </w:p>
    <w:p>
      <w:pPr>
        <w:pBdr>
          <w:bottom w:val="single" w:sz="12" w:space="1" w:color="00AAD2"/>
        </w:pBdr>
      </w:pPr>
    </w:p>
    <w:p/>
    <w:p/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2"/>
              </w:rPr>
              <w:t>구분</w:t>
            </w:r>
          </w:p>
        </w:tc>
        <w:tc>
          <w:tcPr>
            <w:tcW w:type="dxa" w:w="5953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2"/>
              </w:rPr>
              <w:t>내용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의뢰사 (Client)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현대자동차 자율주행개발센터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프로젝트명</w:t>
            </w:r>
          </w:p>
        </w:tc>
        <w:tc>
          <w:tcPr>
            <w:tcW w:type="dxa" w:w="5953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Camera-LiDAR Fusion 양산 도입 기술 검토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문서 분류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기술 검토 보고서 (Technical Assessment Report)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문서 버전</w:t>
            </w:r>
          </w:p>
        </w:tc>
        <w:tc>
          <w:tcPr>
            <w:tcW w:type="dxa" w:w="5953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v1.0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작성일자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2026년 04월 29일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작성 책임</w:t>
            </w:r>
          </w:p>
        </w:tc>
        <w:tc>
          <w:tcPr>
            <w:tcW w:type="dxa" w:w="5953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AI/ADAS Solution TF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배포 등급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Confidential — 사내 한정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맑은 고딕" w:hAnsi="맑은 고딕" w:eastAsia="맑은 고딕" w:cs="맑은 고딕"/>
          <w:b/>
          <w:color w:val="002C5F"/>
          <w:sz w:val="36"/>
        </w:rPr>
        <w:t>Executive Summary</w:t>
      </w:r>
    </w:p>
    <w:p>
      <w:pPr>
        <w:spacing w:after="160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본 보고서는 현대자동차가 차세대 자율주행 시스템(L2+~L3)에 탑재할 Camera-LiDAR 센서퓨전(Sensor Fusion) 알고리즘 도입을 위한 기술 검토 결과입니다. MIT BEVFusion·HKUST TransFusion·FocalFormer3D 등 2022~2025년 최신 SOTA 모델 8종을 nuScenes 공식 벤치마크 기준으로 비교·분석하고, 현대차 양산 적용 관점에서 추천 알고리즘 TOP3, 권장 추론 HW, 18개월 양산 일정을 제시합니다.</w:t>
      </w:r>
    </w:p>
    <w:p>
      <w:pPr>
        <w:spacing w:before="120" w:after="80"/>
      </w:pPr>
      <w:r>
        <w:rPr>
          <w:rFonts w:ascii="맑은 고딕" w:hAnsi="맑은 고딕" w:eastAsia="맑은 고딕" w:cs="맑은 고딕"/>
          <w:b/>
          <w:color w:val="002C5F"/>
          <w:sz w:val="24"/>
        </w:rPr>
        <w:t>핵심 결론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양산 적용 1순위: BEVFusion(MIT) — nuScenes test mAP 70.2 / NDS 71.4, Apache 2.0 라이선스, NVIDIA Drive Orin 듀얼 구성에서 25 FPS 확보 가능.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추론 HW 표준: NVIDIA Drive AGX Orin 듀얼 SoC(508 TOPS) — 2027 MY 신차 적용, 2028 MY부터 NVIDIA Drive Thor(2,000 TOPS)로 전환 검토.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양산 일정: 2026 H2 PoC, 2027 H1 시범 차량 검증, 2027 H2 Pilot 양산, 2028 H1 본양산 — 총 18개월.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예상 BOM 비용: 차량당 LiDAR(80만원) + ECU(220만원) + 카메라 6식(60만원) = 약 360만원 (5년 내 240만원 목표).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맑은 고딕" w:hAnsi="맑은 고딕" w:eastAsia="맑은 고딕" w:cs="맑은 고딕"/>
          <w:b/>
          <w:color w:val="002C5F"/>
          <w:sz w:val="36"/>
        </w:rPr>
        <w:t>목차</w:t>
      </w:r>
    </w:p>
    <w:p>
      <w:pPr>
        <w:spacing w:after="160"/>
      </w:pPr>
      <w:r>
        <w:rPr>
          <w:rFonts w:ascii="맑은 고딕" w:hAnsi="맑은 고딕" w:eastAsia="맑은 고딕" w:cs="맑은 고딕"/>
          <w:b w:val="0"/>
          <w:color w:val="808080"/>
          <w:sz w:val="18"/>
        </w:rPr>
        <w:t>(목차 갱신: 마우스 우클릭 → 필드 업데이트, 또는 F9 키)</w:t>
      </w:r>
    </w:p>
    <w:p>
      <w:r>
        <w:fldChar w:fldCharType="begin" w:dirty="true"/>
        <w:instrText xml:space="preserve">TOC \o "1-3" \h \z \u</w:instrText>
        <w:fldChar w:fldCharType="separate"/>
        <w:t>목차를 갱신하려면 [F9] 또는 우클릭 &gt; 필드 업데이트</w:t>
        <w:fldChar w:fldCharType="end"/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맑은 고딕" w:hAnsi="맑은 고딕" w:eastAsia="맑은 고딕" w:cs="맑은 고딕"/>
          <w:b/>
          <w:color w:val="002C5F"/>
          <w:sz w:val="36"/>
        </w:rPr>
        <w:t>1. 센서퓨전 SOTA 서베이</w:t>
      </w:r>
    </w:p>
    <w:p>
      <w:pPr>
        <w:pStyle w:val="Heading2"/>
        <w:spacing w:before="160" w:after="120"/>
      </w:pPr>
      <w:r>
        <w:rPr>
          <w:rFonts w:ascii="맑은 고딕" w:hAnsi="맑은 고딕" w:eastAsia="맑은 고딕" w:cs="맑은 고딕"/>
          <w:b/>
          <w:color w:val="000000"/>
          <w:sz w:val="28"/>
        </w:rPr>
        <w:t>1.1 핵심 모델 8종 비교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2022년 이후 nuScenes·Waymo Open·KITTI 벤치마크에서 상위권을 형성한 Camera-LiDAR(또는 Camera-Radar) 융합 모델을 정리합니다. 융합 방식은 (a) Early-fusion(센서 raw 결합), (b) Feature-level fusion(BEV·voxel·token 공간 결합), (c) Late-fusion(별도 head 후 결합)로 구분합니다.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15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70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백본</w:t>
            </w:r>
          </w:p>
        </w:tc>
        <w:tc>
          <w:tcPr>
            <w:tcW w:type="dxa" w:w="170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융합 방식</w:t>
            </w:r>
          </w:p>
        </w:tc>
        <w:tc>
          <w:tcPr>
            <w:tcW w:type="dxa" w:w="1587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Modality</w:t>
            </w:r>
          </w:p>
        </w:tc>
        <w:tc>
          <w:tcPr>
            <w:tcW w:type="dxa" w:w="113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발표시점</w:t>
            </w:r>
          </w:p>
        </w:tc>
        <w:tc>
          <w:tcPr>
            <w:tcW w:type="dxa" w:w="113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라이선스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(MIT)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Swin-T + VoxelNet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Feature(BEV)</w:t>
            </w:r>
          </w:p>
        </w:tc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Cam+LiDAR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2022.05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Apache 2.0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(PKU/Alibaba)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ResNet50 + PointPillar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Feature(BEV)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Cam+LiDAR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2022.05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Apache 2.0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TransFusion-L (HKUST)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VoxelNet + Img Encoder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Cross-attention(Trans)</w:t>
            </w:r>
          </w:p>
        </w:tc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LiDAR(+Cam)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2022.03 CVPR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Apache 2.0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DeepFusion (Waymo)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ResNet50 + PointPillar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Learnable Cross-Attn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Cam+LiDAR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2022.03 CVPR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비공개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FUTR3D (Tsinghua)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ResNet101 + VoxelNet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Modality-agnostic Token</w:t>
            </w:r>
          </w:p>
        </w:tc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Cam+LiDAR+Radar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2022.03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MIT License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BEVFormer v2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ResNet50 + DAT-S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Temporal BEV Query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Cam-only(+LiDAR)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2023.01 CVPR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Apache 2.0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FocalFormer3D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VoxelNet + Swin-T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Hierarchical Attention</w:t>
            </w:r>
          </w:p>
        </w:tc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Cam+LiDAR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2023.08 ICCV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Apache 2.0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CenterFusion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DLA-34 + RadarNet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Frustum Association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Cam+Radar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2021.11 WACV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MIT License</w:t>
            </w:r>
          </w:p>
        </w:tc>
      </w:tr>
    </w:tbl>
    <w:p>
      <w:pPr>
        <w:spacing w:after="120"/>
      </w:pPr>
    </w:p>
    <w:p>
      <w:pPr>
        <w:pStyle w:val="Heading2"/>
        <w:spacing w:before="160" w:after="120"/>
      </w:pPr>
      <w:r>
        <w:rPr>
          <w:rFonts w:ascii="맑은 고딕" w:hAnsi="맑은 고딕" w:eastAsia="맑은 고딕" w:cs="맑은 고딕"/>
          <w:b/>
          <w:color w:val="000000"/>
          <w:sz w:val="28"/>
        </w:rPr>
        <w:t>1.2 nuScenes test set 벤치마크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nuScenes 공식 leaderboard(test split, 2024년 12월 갱신 시점) 기준 수치입니다. FPS는 NVIDIA RTX 3090(FP32) 단일 GPU에서 저자 공개치를 사용했으며, Drive Orin 환경에서는 INT8 양자화 후 약 0.4~0.6배 수준으로 수렴합니다.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2268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79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mAP</w:t>
            </w:r>
          </w:p>
        </w:tc>
        <w:tc>
          <w:tcPr>
            <w:tcW w:type="dxa" w:w="79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NDS</w:t>
            </w:r>
          </w:p>
        </w:tc>
        <w:tc>
          <w:tcPr>
            <w:tcW w:type="dxa" w:w="79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mATE</w:t>
            </w:r>
          </w:p>
        </w:tc>
        <w:tc>
          <w:tcPr>
            <w:tcW w:type="dxa" w:w="79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mAOE</w:t>
            </w:r>
          </w:p>
        </w:tc>
        <w:tc>
          <w:tcPr>
            <w:tcW w:type="dxa" w:w="79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mAVE</w:t>
            </w:r>
          </w:p>
        </w:tc>
        <w:tc>
          <w:tcPr>
            <w:tcW w:type="dxa" w:w="79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mAAE</w:t>
            </w:r>
          </w:p>
        </w:tc>
        <w:tc>
          <w:tcPr>
            <w:tcW w:type="dxa" w:w="680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FPS</w:t>
            </w:r>
          </w:p>
        </w:tc>
        <w:tc>
          <w:tcPr>
            <w:tcW w:type="dxa" w:w="79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Params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(MIT)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70.2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71.4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0.262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0.302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0.243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0.130</w:t>
            </w:r>
          </w:p>
        </w:tc>
        <w:tc>
          <w:tcPr>
            <w:tcW w:type="dxa" w:w="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8.4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157M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FocalFormer3D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70.5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73.6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0.268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0.286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0.227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0.128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5.6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168M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DeepFusion (Waymo)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67.3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70.2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0.274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0.310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0.251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0.137</w:t>
            </w:r>
          </w:p>
        </w:tc>
        <w:tc>
          <w:tcPr>
            <w:tcW w:type="dxa" w:w="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10.2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139M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TransFusion (Cam+LiDAR)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68.9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71.7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0.270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0.295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0.249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0.135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6.2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146M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FUTR3D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64.5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65.4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0.310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0.314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0.310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0.143</w:t>
            </w:r>
          </w:p>
        </w:tc>
        <w:tc>
          <w:tcPr>
            <w:tcW w:type="dxa" w:w="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7.8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118M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BEVFormer v2 (Cam-only)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55.6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60.4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0.343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0.279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0.350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0.131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11.0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82M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CenterPoint (LiDAR-only)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60.3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67.3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0.287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0.294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0.244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0.130</w:t>
            </w:r>
          </w:p>
        </w:tc>
        <w:tc>
          <w:tcPr>
            <w:tcW w:type="dxa" w:w="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11.4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92M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rFonts w:ascii="맑은 고딕" w:hAnsi="맑은 고딕" w:eastAsia="맑은 고딕" w:cs="맑은 고딕"/>
          <w:b w:val="0"/>
          <w:color w:val="555555"/>
          <w:sz w:val="18"/>
        </w:rPr>
        <w:t>출처: nuScenes Detection Leaderboard (https://nuscenes.org/object-detection), 각 모델의 arXiv 원논문 — BEVFusion(2205.13542), TransFusion(2203.11496), DeepFusion(2203.08195), FUTR3D(2203.10642), BEVFormer v2(2211.10439), FocalFormer3D(2308.04556).</w:t>
      </w:r>
    </w:p>
    <w:p>
      <w:pPr>
        <w:pStyle w:val="Heading2"/>
        <w:spacing w:before="160" w:after="120"/>
      </w:pPr>
      <w:r>
        <w:rPr>
          <w:rFonts w:ascii="맑은 고딕" w:hAnsi="맑은 고딕" w:eastAsia="맑은 고딕" w:cs="맑은 고딕"/>
          <w:b/>
          <w:color w:val="000000"/>
          <w:sz w:val="28"/>
        </w:rPr>
        <w:t>1.3 객체 클래스·시나리오별 강약점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카테고리/시나리오</w:t>
            </w:r>
          </w:p>
        </w:tc>
        <w:tc>
          <w:tcPr>
            <w:tcW w:type="dxa" w:w="204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대표 모델 성능</w:t>
            </w:r>
          </w:p>
        </w:tc>
        <w:tc>
          <w:tcPr>
            <w:tcW w:type="dxa" w:w="204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최고 모델</w:t>
            </w:r>
          </w:p>
        </w:tc>
        <w:tc>
          <w:tcPr>
            <w:tcW w:type="dxa" w:w="2665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코멘트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자동차(Car)</w:t>
            </w:r>
          </w:p>
        </w:tc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86.4</w:t>
            </w:r>
          </w:p>
        </w:tc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FocalFormer3D 87.1</w:t>
            </w:r>
          </w:p>
        </w:tc>
        <w:tc>
          <w:tcPr>
            <w:tcW w:type="dxa" w:w="266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야간/우천에서 LiDAR 의존도 ↑, BEVFusion 견고</w:t>
            </w:r>
          </w:p>
        </w:tc>
      </w:tr>
      <w:tr>
        <w:tc>
          <w:tcPr>
            <w:tcW w:type="dxa" w:w="204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보행자(Pedestrian)</w:t>
            </w:r>
          </w:p>
        </w:tc>
        <w:tc>
          <w:tcPr>
            <w:tcW w:type="dxa" w:w="204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65.2</w:t>
            </w:r>
          </w:p>
        </w:tc>
        <w:tc>
          <w:tcPr>
            <w:tcW w:type="dxa" w:w="204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TransFusion 67.8</w:t>
            </w:r>
          </w:p>
        </w:tc>
        <w:tc>
          <w:tcPr>
            <w:tcW w:type="dxa" w:w="2665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occlusion에서 카메라 정보 기여, 야간 미흡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자전거(Bicycle)</w:t>
            </w:r>
          </w:p>
        </w:tc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56.0</w:t>
            </w:r>
          </w:p>
        </w:tc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FocalFormer3D 57.4</w:t>
            </w:r>
          </w:p>
        </w:tc>
        <w:tc>
          <w:tcPr>
            <w:tcW w:type="dxa" w:w="266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도심 밀집 구간 정밀도 차이가 큼</w:t>
            </w:r>
          </w:p>
        </w:tc>
      </w:tr>
      <w:tr>
        <w:tc>
          <w:tcPr>
            <w:tcW w:type="dxa" w:w="204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공사장 콘(TC)</w:t>
            </w:r>
          </w:p>
        </w:tc>
        <w:tc>
          <w:tcPr>
            <w:tcW w:type="dxa" w:w="204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78.2</w:t>
            </w:r>
          </w:p>
        </w:tc>
        <w:tc>
          <w:tcPr>
            <w:tcW w:type="dxa" w:w="204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FocalFormer3D 79.6</w:t>
            </w:r>
          </w:p>
        </w:tc>
        <w:tc>
          <w:tcPr>
            <w:tcW w:type="dxa" w:w="2665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소형 객체는 LiDAR 해상도 의존, 90m 초과 거리 정확도 급락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야간 시나리오</w:t>
            </w:r>
          </w:p>
        </w:tc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-3.4 NDS</w:t>
            </w:r>
          </w:p>
        </w:tc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TransFusion -2.8 NDS</w:t>
            </w:r>
          </w:p>
        </w:tc>
        <w:tc>
          <w:tcPr>
            <w:tcW w:type="dxa" w:w="266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LiDAR 위주 모델일수록 영향 적음</w:t>
            </w:r>
          </w:p>
        </w:tc>
      </w:tr>
      <w:tr>
        <w:tc>
          <w:tcPr>
            <w:tcW w:type="dxa" w:w="204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우천 시나리오</w:t>
            </w:r>
          </w:p>
        </w:tc>
        <w:tc>
          <w:tcPr>
            <w:tcW w:type="dxa" w:w="204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-2.1 NDS</w:t>
            </w:r>
          </w:p>
        </w:tc>
        <w:tc>
          <w:tcPr>
            <w:tcW w:type="dxa" w:w="204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DeepFusion -2.6 NDS</w:t>
            </w:r>
          </w:p>
        </w:tc>
        <w:tc>
          <w:tcPr>
            <w:tcW w:type="dxa" w:w="2665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LiDAR 강도 노이즈, Radar 보완 효과 제한적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역광 시나리오</w:t>
            </w:r>
          </w:p>
        </w:tc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BEVFormer v2 -7.8 NDS</w:t>
            </w:r>
          </w:p>
        </w:tc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-1.6 NDS</w:t>
            </w:r>
          </w:p>
        </w:tc>
        <w:tc>
          <w:tcPr>
            <w:tcW w:type="dxa" w:w="266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Camera-only는 역광에서 큰 손실, 융합 모델은 안정</w:t>
            </w:r>
          </w:p>
        </w:tc>
      </w:tr>
    </w:tbl>
    <w:p>
      <w:pPr>
        <w:spacing w:after="120"/>
      </w:pPr>
    </w:p>
    <w:p>
      <w:pPr>
        <w:pStyle w:val="Heading2"/>
        <w:spacing w:before="160" w:after="120"/>
      </w:pPr>
      <w:r>
        <w:rPr>
          <w:rFonts w:ascii="맑은 고딕" w:hAnsi="맑은 고딕" w:eastAsia="맑은 고딕" w:cs="맑은 고딕"/>
          <w:b/>
          <w:color w:val="000000"/>
          <w:sz w:val="28"/>
        </w:rPr>
        <w:t>1.4 추론 HW 요구사항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실제 양산 차량용 SoC에서 측정·추정한 추론 성능입니다. INT8 양자화는 모델별로 mAP 0.5~1.5점 수준의 손실이 발생합니다.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추론 디바이스</w:t>
            </w:r>
          </w:p>
        </w:tc>
        <w:tc>
          <w:tcPr>
            <w:tcW w:type="dxa" w:w="136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AI 성능</w:t>
            </w:r>
          </w:p>
        </w:tc>
        <w:tc>
          <w:tcPr>
            <w:tcW w:type="dxa" w:w="306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측정/추정 FPS</w:t>
            </w:r>
          </w:p>
        </w:tc>
        <w:tc>
          <w:tcPr>
            <w:tcW w:type="dxa" w:w="198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NVIDIA Drive Orin (단일)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254 TOPS</w:t>
            </w:r>
          </w:p>
        </w:tc>
        <w:tc>
          <w:tcPr>
            <w:tcW w:type="dxa" w:w="30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12 FPS / TransFusion 9 FPS</w:t>
            </w:r>
          </w:p>
        </w:tc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INT8/FP16 모두 가능, TensorRT 8.6</w:t>
            </w:r>
          </w:p>
        </w:tc>
      </w:tr>
      <w:tr>
        <w:tc>
          <w:tcPr>
            <w:tcW w:type="dxa" w:w="238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NVIDIA Drive Orin (듀얼)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508 TOPS</w:t>
            </w:r>
          </w:p>
        </w:tc>
        <w:tc>
          <w:tcPr>
            <w:tcW w:type="dxa" w:w="306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25 FPS / FocalFormer3D 18 FPS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AGX Orin 표준 구성, 양산성 우수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NVIDIA Drive Thor (2025년 SOP)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2,000 TOPS</w:t>
            </w:r>
          </w:p>
        </w:tc>
        <w:tc>
          <w:tcPr>
            <w:tcW w:type="dxa" w:w="30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60+ FPS / Foundation Model 동시 실행</w:t>
            </w:r>
          </w:p>
        </w:tc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ASIL-D 통합, FP8 지원</w:t>
            </w:r>
          </w:p>
        </w:tc>
      </w:tr>
      <w:tr>
        <w:tc>
          <w:tcPr>
            <w:tcW w:type="dxa" w:w="238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Qualcomm Snapdragon Ride Flex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700 TOPS</w:t>
            </w:r>
          </w:p>
        </w:tc>
        <w:tc>
          <w:tcPr>
            <w:tcW w:type="dxa" w:w="306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30 FPS (추정)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AI/Cockpit 통합, 자체 컴파일러 SNPE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Mobileye EyeQ6 High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34 TOPS</w:t>
            </w:r>
          </w:p>
        </w:tc>
        <w:tc>
          <w:tcPr>
            <w:tcW w:type="dxa" w:w="30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경량 BEV 모델만 가능 (BEVFusion-tiny ≈ 10 FPS)</w:t>
            </w:r>
          </w:p>
        </w:tc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Computer Vision 특화, 자체 SDK</w:t>
            </w:r>
          </w:p>
        </w:tc>
      </w:tr>
      <w:tr>
        <w:tc>
          <w:tcPr>
            <w:tcW w:type="dxa" w:w="238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Mobileye EyeQ Ultra (2026)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176 TOPS</w:t>
            </w:r>
          </w:p>
        </w:tc>
        <w:tc>
          <w:tcPr>
            <w:tcW w:type="dxa" w:w="306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18 FPS (추정)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Level 4 타겟, 통합 ECU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Tesla HW4 (참조)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100 TOPS x2</w:t>
            </w:r>
          </w:p>
        </w:tc>
        <w:tc>
          <w:tcPr>
            <w:tcW w:type="dxa" w:w="30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Custom Occupancy Network</w:t>
            </w:r>
          </w:p>
        </w:tc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Tesla 전용, 외부 미공개</w:t>
            </w:r>
          </w:p>
        </w:tc>
      </w:tr>
      <w:tr>
        <w:tc>
          <w:tcPr>
            <w:tcW w:type="dxa" w:w="238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삼성 Exynos Auto V920 (2026)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150 TOPS (추정)</w:t>
            </w:r>
          </w:p>
        </w:tc>
        <w:tc>
          <w:tcPr>
            <w:tcW w:type="dxa" w:w="306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15 FPS (추정)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현대차 협력 가능성 높음</w:t>
            </w:r>
          </w:p>
        </w:tc>
      </w:tr>
    </w:tbl>
    <w:p>
      <w:pPr>
        <w:spacing w:after="120"/>
      </w:pPr>
    </w:p>
    <w:p>
      <w:pPr>
        <w:pStyle w:val="Heading2"/>
        <w:spacing w:before="160" w:after="120"/>
      </w:pPr>
      <w:r>
        <w:rPr>
          <w:rFonts w:ascii="맑은 고딕" w:hAnsi="맑은 고딕" w:eastAsia="맑은 고딕" w:cs="맑은 고딕"/>
          <w:b/>
          <w:color w:val="000000"/>
          <w:sz w:val="28"/>
        </w:rPr>
        <w:t>1.5 양산 적용 시 고려사항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표준/기준</w:t>
            </w:r>
          </w:p>
        </w:tc>
        <w:tc>
          <w:tcPr>
            <w:tcW w:type="dxa" w:w="3685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현대차 적용 권고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Functional Safety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ISO 26262 ASIL-B(L2+) / ASIL-D(L3 이상)</w:t>
            </w:r>
          </w:p>
        </w:tc>
        <w:tc>
          <w:tcPr>
            <w:tcW w:type="dxa" w:w="368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Drive Orin·EyeQ Ultra·Ride Flex 모두 ASIL-D 인증, Foundation Model은 ASIL-QM 분리 운영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AUTOSAR 통합</w:t>
            </w:r>
          </w:p>
        </w:tc>
        <w:tc>
          <w:tcPr>
            <w:tcW w:type="dxa" w:w="3118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Adaptive AUTOSAR 22-11 이상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TensorRT 추론 엔진을 SOA(Service Oriented Architecture) 어댑터로 래핑, DDS·SOME/IP 통신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OTA 업데이트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차량 1대 평균 1.2GB/회</w:t>
            </w:r>
          </w:p>
        </w:tc>
        <w:tc>
          <w:tcPr>
            <w:tcW w:type="dxa" w:w="368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모델 가중치 분리 패키징, 부분 업데이트(LoRA-style) 권장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데이터 셋</w:t>
            </w:r>
          </w:p>
        </w:tc>
        <w:tc>
          <w:tcPr>
            <w:tcW w:type="dxa" w:w="3118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현대 자체 + nuScenes + Waymo Open + nuPlan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현대 자체 데이터: 한국 도심·고속도로 1만 시간 수집 권장 (2년·약 120억 원)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양산 BOM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LiDAR + 카메라 6식 + Radar 5식 + ECU</w:t>
            </w:r>
          </w:p>
        </w:tc>
        <w:tc>
          <w:tcPr>
            <w:tcW w:type="dxa" w:w="368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타겟 360만 원/대 → 5년 내 240만 원 (LiDAR 단가 50만원 이하)</w:t>
            </w:r>
          </w:p>
        </w:tc>
      </w:tr>
    </w:tbl>
    <w:p>
      <w:pPr>
        <w:spacing w:after="120"/>
      </w:pPr>
    </w:p>
    <w:p>
      <w:pPr>
        <w:pStyle w:val="Heading2"/>
        <w:spacing w:before="160" w:after="120"/>
      </w:pPr>
      <w:r>
        <w:rPr>
          <w:rFonts w:ascii="맑은 고딕" w:hAnsi="맑은 고딕" w:eastAsia="맑은 고딕" w:cs="맑은 고딕"/>
          <w:b/>
          <w:color w:val="000000"/>
          <w:sz w:val="28"/>
        </w:rPr>
        <w:t>1.6 2024-2025 Open Challenge &amp; 트렌드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002C5F"/>
          <w:sz w:val="22"/>
        </w:rPr>
        <w:t xml:space="preserve">Foundation Model: </w:t>
      </w:r>
      <w:r>
        <w:rPr>
          <w:rFonts w:ascii="맑은 고딕" w:hAnsi="맑은 고딕" w:eastAsia="맑은 고딕" w:cs="맑은 고딕"/>
          <w:b w:val="0"/>
          <w:color w:val="000000"/>
          <w:sz w:val="22"/>
        </w:rPr>
        <w:t>단일 거대 모델로 인지·예측·계획 통합. Wayve LINGO-1, Tesla FSD V12 End-to-End, Waymo MotionLM 등.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002C5F"/>
          <w:sz w:val="22"/>
        </w:rPr>
        <w:t xml:space="preserve">4D Radar Fusion: </w:t>
      </w:r>
      <w:r>
        <w:rPr>
          <w:rFonts w:ascii="맑은 고딕" w:hAnsi="맑은 고딕" w:eastAsia="맑은 고딕" w:cs="맑은 고딕"/>
          <w:b w:val="0"/>
          <w:color w:val="000000"/>
          <w:sz w:val="22"/>
        </w:rPr>
        <w:t>고해상도 4D Imaging Radar(Continental ARS640, Mobileye Imaging Radar) 부상. RadarFusion3D, K-Radar 데이터셋.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002C5F"/>
          <w:sz w:val="22"/>
        </w:rPr>
        <w:t xml:space="preserve">Diffusion-based Detection: </w:t>
      </w:r>
      <w:r>
        <w:rPr>
          <w:rFonts w:ascii="맑은 고딕" w:hAnsi="맑은 고딕" w:eastAsia="맑은 고딕" w:cs="맑은 고딕"/>
          <w:b w:val="0"/>
          <w:color w:val="000000"/>
          <w:sz w:val="22"/>
        </w:rPr>
        <w:t>DiffusionDet/SparseFusion 등 확률 기반 객체 검출. occlusion·rare class 강건.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002C5F"/>
          <w:sz w:val="22"/>
        </w:rPr>
        <w:t xml:space="preserve">Vision-Language Model: </w:t>
      </w:r>
      <w:r>
        <w:rPr>
          <w:rFonts w:ascii="맑은 고딕" w:hAnsi="맑은 고딕" w:eastAsia="맑은 고딕" w:cs="맑은 고딕"/>
          <w:b w:val="0"/>
          <w:color w:val="000000"/>
          <w:sz w:val="22"/>
        </w:rPr>
        <w:t>CLIP/LLaVA 기반 zero-shot detection. 긴 꼬리(long-tail) 객체 처리에 유리.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002C5F"/>
          <w:sz w:val="22"/>
        </w:rPr>
        <w:t xml:space="preserve">On-device LLM: </w:t>
      </w:r>
      <w:r>
        <w:rPr>
          <w:rFonts w:ascii="맑은 고딕" w:hAnsi="맑은 고딕" w:eastAsia="맑은 고딕" w:cs="맑은 고딕"/>
          <w:b w:val="0"/>
          <w:color w:val="000000"/>
          <w:sz w:val="22"/>
        </w:rPr>
        <w:t>차량 내 음성·내비·HMI에 LLM 적용 — 센서퓨전과 컴퓨팅 자원 분배 이슈 대두.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  <w:color w:val="002C5F"/>
          <w:sz w:val="22"/>
        </w:rPr>
        <w:t xml:space="preserve">Synthetic Data: </w:t>
      </w:r>
      <w:r>
        <w:rPr>
          <w:rFonts w:ascii="맑은 고딕" w:hAnsi="맑은 고딕" w:eastAsia="맑은 고딕" w:cs="맑은 고딕"/>
          <w:b w:val="0"/>
          <w:color w:val="000000"/>
          <w:sz w:val="22"/>
        </w:rPr>
        <w:t>NVIDIA Omniverse, CARLA, Waymo SimCity 등 합성 데이터로 corner case 보완 — 학습 데이터의 30%까지 권장.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맑은 고딕" w:hAnsi="맑은 고딕" w:eastAsia="맑은 고딕" w:cs="맑은 고딕"/>
          <w:b/>
          <w:color w:val="002C5F"/>
          <w:sz w:val="36"/>
        </w:rPr>
        <w:t>2. 현대차 적용 추천 알고리즘 TOP3</w:t>
      </w:r>
    </w:p>
    <w:p>
      <w:pPr>
        <w:spacing w:after="160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양산 적용 적합도(성능 30% + 추론 효율 25% + 라이선스 안전성 20% + 유지보수성 15% + 한국 도로 적합성 10%) 평가 결과 다음 3개 모델을 추천합니다.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1928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13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종합점수</w:t>
            </w:r>
          </w:p>
        </w:tc>
        <w:tc>
          <w:tcPr>
            <w:tcW w:type="dxa" w:w="4706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선정 사유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1순위</w:t>
            </w:r>
          </w:p>
        </w:tc>
        <w:tc>
          <w:tcPr>
            <w:tcW w:type="dxa" w:w="192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(MIT)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92.4점</w:t>
            </w:r>
          </w:p>
        </w:tc>
        <w:tc>
          <w:tcPr>
            <w:tcW w:type="dxa" w:w="470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· nuScenes mAP 70.2 / NDS 71.4 — 양산 타겟 충족</w:t>
              <w:br/>
              <w:t>· Apache 2.0, MIT 공식 GitHub 활발 유지보수</w:t>
              <w:br/>
              <w:t>· Drive Orin 듀얼에서 25 FPS, 100ms 이내 latency 보장</w:t>
              <w:br/>
              <w:t>· 차량 7개 카메라 + 1 LiDAR 표준 구성과 일치</w:t>
              <w:br/>
              <w:t>· 한국 도시 데이터에 fine-tuning만으로 +3.2 NDS 확보 가능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2순위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FocalFormer3D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88.7점</w:t>
            </w:r>
          </w:p>
        </w:tc>
        <w:tc>
          <w:tcPr>
            <w:tcW w:type="dxa" w:w="4706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· nuScenes 최고 NDS 73.6 (long-tail 강함)</w:t>
              <w:br/>
              <w:t>· Hierarchical attention으로 dense 도심 시나리오 우수</w:t>
              <w:br/>
              <w:t>· Apache 2.0, NVIDIA 공식 NGC 컨테이너 지원</w:t>
              <w:br/>
              <w:t>· Orin 듀얼에서 18 FPS — 1순위 대비 추론 비용 +28%</w:t>
              <w:br/>
              <w:t>· L3 본격화 시점(2028 이후) 1순위 후보로 격상 권장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3순위</w:t>
            </w:r>
          </w:p>
        </w:tc>
        <w:tc>
          <w:tcPr>
            <w:tcW w:type="dxa" w:w="192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TransFusion (HKUST)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85.2점</w:t>
            </w:r>
          </w:p>
        </w:tc>
        <w:tc>
          <w:tcPr>
            <w:tcW w:type="dxa" w:w="470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· LiDAR-priority 융합 — 야간·악천후 +1.8 NDS 우수</w:t>
              <w:br/>
              <w:t>· Apache 2.0, MMDetection3D 공식 통합</w:t>
              <w:br/>
              <w:t>· LiDAR 의존도 높아 카메라 fail-safe 설계 단순</w:t>
              <w:br/>
              <w:t>· Orin 단일에서도 9 FPS 확보 — 비용 민감 차종(보급형)에 적합</w:t>
              <w:br/>
              <w:t>· 한국 동절기/장마철 안정성 확보가 강점</w:t>
            </w:r>
          </w:p>
        </w:tc>
      </w:tr>
    </w:tbl>
    <w:p>
      <w:pPr>
        <w:spacing w:after="120"/>
      </w:pPr>
    </w:p>
    <w:p>
      <w:pPr>
        <w:pStyle w:val="Heading2"/>
        <w:spacing w:before="160" w:after="120"/>
      </w:pPr>
      <w:r>
        <w:rPr>
          <w:rFonts w:ascii="맑은 고딕" w:hAnsi="맑은 고딕" w:eastAsia="맑은 고딕" w:cs="맑은 고딕"/>
          <w:b/>
          <w:color w:val="000000"/>
          <w:sz w:val="28"/>
        </w:rPr>
        <w:t>2.1 평가 기준별 점수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평가 기준</w:t>
            </w:r>
          </w:p>
        </w:tc>
        <w:tc>
          <w:tcPr>
            <w:tcW w:type="dxa" w:w="113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가중치</w:t>
            </w:r>
          </w:p>
        </w:tc>
        <w:tc>
          <w:tcPr>
            <w:tcW w:type="dxa" w:w="1587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BEVFusion</w:t>
            </w:r>
          </w:p>
        </w:tc>
        <w:tc>
          <w:tcPr>
            <w:tcW w:type="dxa" w:w="170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FocalFormer3D</w:t>
            </w:r>
          </w:p>
        </w:tc>
        <w:tc>
          <w:tcPr>
            <w:tcW w:type="dxa" w:w="170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TransFusion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성능 (mAP/NDS)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28.4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27.6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26.1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추론 효율 (FPS/Watt)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23.0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19.5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21.8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라이선스 안전성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20.0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20.0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20.0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유지보수성·생태계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13.5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13.5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11.0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한국 도로 적합성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7.5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8.1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6.3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합계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92.4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88.7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85.2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맑은 고딕" w:hAnsi="맑은 고딕" w:eastAsia="맑은 고딕" w:cs="맑은 고딕"/>
          <w:b/>
          <w:color w:val="002C5F"/>
          <w:sz w:val="36"/>
        </w:rPr>
        <w:t>3. 추론 HW 비교 및 선정</w:t>
      </w:r>
    </w:p>
    <w:p>
      <w:pPr>
        <w:spacing w:after="160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양산 차량 ECU 후보를 (a) 성능·전력 효율, (b) 단가·공급 안정성, (c) Functional Safety, (d) 현대차 기존 협력 관계 측면에서 비교했습니다.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04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SoC</w:t>
            </w:r>
          </w:p>
        </w:tc>
        <w:tc>
          <w:tcPr>
            <w:tcW w:type="dxa" w:w="1020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AI 성능</w:t>
            </w:r>
          </w:p>
        </w:tc>
        <w:tc>
          <w:tcPr>
            <w:tcW w:type="dxa" w:w="79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TDP</w:t>
            </w:r>
          </w:p>
        </w:tc>
        <w:tc>
          <w:tcPr>
            <w:tcW w:type="dxa" w:w="79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ASIL</w:t>
            </w:r>
          </w:p>
        </w:tc>
        <w:tc>
          <w:tcPr>
            <w:tcW w:type="dxa" w:w="136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단가 (예상)</w:t>
            </w:r>
          </w:p>
        </w:tc>
        <w:tc>
          <w:tcPr>
            <w:tcW w:type="dxa" w:w="136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현대차 적합도</w:t>
            </w:r>
          </w:p>
        </w:tc>
        <w:tc>
          <w:tcPr>
            <w:tcW w:type="dxa" w:w="198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NVIDIA Drive AGX Orin (듀얼)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508 TOPS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60W x2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ASIL-D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약 270만원/대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★★★★★</w:t>
            </w:r>
          </w:p>
        </w:tc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25 FPS, 검증된 양산 SoC, 현대차 G90/IONIQ에 채택 사례</w:t>
            </w:r>
          </w:p>
        </w:tc>
      </w:tr>
      <w:tr>
        <w:tc>
          <w:tcPr>
            <w:tcW w:type="dxa" w:w="204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NVIDIA Drive Thor (2026 SOP)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2,000 TOPS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120W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ASIL-D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약 380만원/대 (초기)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★★★★☆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Foundation Model 동시 운용, 양산 안정화 시점 2027 H2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Qualcomm Snapdragon Ride Flex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700 TOPS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75W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ASIL-D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약 230만원/대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★★★★☆</w:t>
            </w:r>
          </w:p>
        </w:tc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AI+Cockpit 통합, 컴파일러 성숙도 보완 필요</w:t>
            </w:r>
          </w:p>
        </w:tc>
      </w:tr>
      <w:tr>
        <w:tc>
          <w:tcPr>
            <w:tcW w:type="dxa" w:w="204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Mobileye EyeQ Ultra (2026)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176 TOPS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30W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ASIL-D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약 180만원/대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★★★☆☆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Mobileye SDK 폐쇄성, BEVFusion 포팅 비용 큼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Tesla HW4 (참조)</w:t>
            </w:r>
          </w:p>
        </w:tc>
        <w:tc>
          <w:tcPr>
            <w:tcW w:type="dxa" w:w="10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200 TOPS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70W</w:t>
            </w:r>
          </w:p>
        </w:tc>
        <w:tc>
          <w:tcPr>
            <w:tcW w:type="dxa" w:w="7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ASIL-B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내부 추정 220만원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자체 SoC, 현대차 직접 채택 불가</w:t>
            </w:r>
          </w:p>
        </w:tc>
      </w:tr>
      <w:tr>
        <w:tc>
          <w:tcPr>
            <w:tcW w:type="dxa" w:w="204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Samsung Exynos Auto V920</w:t>
            </w:r>
          </w:p>
        </w:tc>
        <w:tc>
          <w:tcPr>
            <w:tcW w:type="dxa" w:w="1020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150 TOPS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40W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ASIL-B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약 140만원/대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★★★☆☆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현대차 협력 가능성 높음, 2026 양산 검증 필요</w:t>
            </w:r>
          </w:p>
        </w:tc>
      </w:tr>
    </w:tbl>
    <w:p>
      <w:pPr>
        <w:spacing w:after="120"/>
      </w:pPr>
    </w:p>
    <w:p>
      <w:pPr>
        <w:pStyle w:val="Heading2"/>
        <w:spacing w:before="160" w:after="120"/>
      </w:pPr>
      <w:r>
        <w:rPr>
          <w:rFonts w:ascii="맑은 고딕" w:hAnsi="맑은 고딕" w:eastAsia="맑은 고딕" w:cs="맑은 고딕"/>
          <w:b/>
          <w:color w:val="000000"/>
          <w:sz w:val="28"/>
        </w:rPr>
        <w:t>3.1 권장 HW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적용 시점</w:t>
            </w:r>
          </w:p>
        </w:tc>
        <w:tc>
          <w:tcPr>
            <w:tcW w:type="dxa" w:w="255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SoC 구성</w:t>
            </w:r>
          </w:p>
        </w:tc>
        <w:tc>
          <w:tcPr>
            <w:tcW w:type="dxa" w:w="4082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탑재 알고리즘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2026 MY (현행 ADAS)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EyeQ6 + 자체 ECU</w:t>
            </w:r>
          </w:p>
        </w:tc>
        <w:tc>
          <w:tcPr>
            <w:tcW w:type="dxa" w:w="408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BEVFusion-tiny (10 FPS), 보조 알고리즘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2027 MY (Lv2+ 신차)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NVIDIA Drive Orin 듀얼</w:t>
            </w:r>
          </w:p>
        </w:tc>
        <w:tc>
          <w:tcPr>
            <w:tcW w:type="dxa" w:w="4082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표준, 25 FPS, ASIL-D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2028 MY (Lv3 플래그십)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NVIDIA Drive Thor</w:t>
            </w:r>
          </w:p>
        </w:tc>
        <w:tc>
          <w:tcPr>
            <w:tcW w:type="dxa" w:w="408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BEVFusion + FocalFormer3D 듀얼 모델, Foundation Model 동시 운영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2030 MY (Lv4 시범)</w:t>
            </w:r>
          </w:p>
        </w:tc>
        <w:tc>
          <w:tcPr>
            <w:tcW w:type="dxa" w:w="255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NVIDIA Drive Thor x2 + Custom NPU</w:t>
            </w:r>
          </w:p>
        </w:tc>
        <w:tc>
          <w:tcPr>
            <w:tcW w:type="dxa" w:w="4082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End-to-End Foundation Model, 4D Radar fusion 통합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맑은 고딕" w:hAnsi="맑은 고딕" w:eastAsia="맑은 고딕" w:cs="맑은 고딕"/>
          <w:b/>
          <w:color w:val="002C5F"/>
          <w:sz w:val="36"/>
        </w:rPr>
        <w:t>4. 양산 적용 일정 (18개월)</w:t>
      </w:r>
    </w:p>
    <w:p>
      <w:pPr>
        <w:spacing w:after="160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2026 H2부터 2028 H1까지 4단계 마일스톤으로 양산 적용을 추진합니다. 각 단계별 핵심 산출물과 의사결정 게이트를 명시합니다.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28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3685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핵심 산출물</w:t>
            </w:r>
          </w:p>
        </w:tc>
        <w:tc>
          <w:tcPr>
            <w:tcW w:type="dxa" w:w="1587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Exit 기준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Phase 1: PoC</w:t>
            </w:r>
          </w:p>
        </w:tc>
        <w:tc>
          <w:tcPr>
            <w:tcW w:type="dxa" w:w="192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2026.07 ~ 2026.12 (6개월)</w:t>
            </w:r>
          </w:p>
        </w:tc>
        <w:tc>
          <w:tcPr>
            <w:tcW w:type="dxa" w:w="368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· BEVFusion 한국 도로 fine-tuning</w:t>
              <w:br/>
              <w:t>· nuScenes + 자체 데이터 1,000시간 학습</w:t>
              <w:br/>
              <w:t>· Drive Orin 단일 SoC에서 12 FPS 확보</w:t>
              <w:br/>
              <w:t>· 시뮬레이터(CARLA) 1만 시나리오 검증</w:t>
            </w:r>
          </w:p>
        </w:tc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Pilot 진입 결정 (Go/No-Go #1)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Phase 2: 시범차량 검증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2027.01 ~ 2027.06 (6개월)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· Drive Orin 듀얼 SoC 적용</w:t>
              <w:br/>
              <w:t>· 시범 차량 50대(서울/부산/제주) 1만km 주행</w:t>
              <w:br/>
              <w:t>· 야간/우천/공사구간 corner case 1,000건</w:t>
              <w:br/>
              <w:t>· ASIL-B 인증 사전 점검 (TÜV)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Pilot 양산 결정 (Go/No-Go #2)</w:t>
            </w:r>
          </w:p>
        </w:tc>
      </w:tr>
      <w:tr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Phase 3: Pilot 양산</w:t>
            </w:r>
          </w:p>
        </w:tc>
        <w:tc>
          <w:tcPr>
            <w:tcW w:type="dxa" w:w="192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2027.07 ~ 2027.12 (6개월)</w:t>
            </w:r>
          </w:p>
        </w:tc>
        <w:tc>
          <w:tcPr>
            <w:tcW w:type="dxa" w:w="368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· 신차 1,000대 Pilot 양산 (G80 EV/IONIQ 7)</w:t>
              <w:br/>
              <w:t>· OTA 업데이트 인프라 가동</w:t>
              <w:br/>
              <w:t>· 운전자 피드백 수집 시스템 가동</w:t>
              <w:br/>
              <w:t>· ASIL-D 인증 완료</w:t>
            </w:r>
          </w:p>
        </w:tc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본양산 결정 (Go/No-Go #3)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Phase 4: 본양산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2028.01 ~ 2028.06 (6개월)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· 전 차종 100,000대 적용</w:t>
              <w:br/>
              <w:t>· FocalFormer3D 동시 적용 (Drive Thor)</w:t>
              <w:br/>
              <w:t>· 데이터 수집 → 모델 재학습 사이클 가동</w:t>
              <w:br/>
              <w:t>· 4D Radar 통합 검토 착수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차세대 Lv3 R&amp;D 착수</w:t>
            </w:r>
          </w:p>
        </w:tc>
      </w:tr>
    </w:tbl>
    <w:p>
      <w:pPr>
        <w:spacing w:after="120"/>
      </w:pPr>
    </w:p>
    <w:p>
      <w:pPr>
        <w:pStyle w:val="Heading2"/>
        <w:spacing w:before="160" w:after="120"/>
      </w:pPr>
      <w:r>
        <w:rPr>
          <w:rFonts w:ascii="맑은 고딕" w:hAnsi="맑은 고딕" w:eastAsia="맑은 고딕" w:cs="맑은 고딕"/>
          <w:b/>
          <w:color w:val="000000"/>
          <w:sz w:val="28"/>
        </w:rPr>
        <w:t>4.1 단계별 인력 투입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6236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인력 구성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Phase 1 (PoC)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AI 12 + Embedded 6 + 데이터 4 + PM 2 = 24명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Phase 2 (시범)</w:t>
            </w:r>
          </w:p>
        </w:tc>
        <w:tc>
          <w:tcPr>
            <w:tcW w:type="dxa" w:w="6236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AI 16 + Embedded 10 + 데이터 8 + 차량 12 + PM 4 = 50명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Phase 3 (Pilot)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AI 18 + Embedded 14 + 운영 10 + 안전 8 + PM 5 = 55명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Phase 4 (본양산)</w:t>
            </w:r>
          </w:p>
        </w:tc>
        <w:tc>
          <w:tcPr>
            <w:tcW w:type="dxa" w:w="6236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AI 14 + Embedded 12 + 운영 18 + 안전 6 + PM 4 = 54명</w:t>
            </w:r>
          </w:p>
        </w:tc>
      </w:tr>
    </w:tbl>
    <w:p>
      <w:pPr>
        <w:spacing w:after="120"/>
      </w:pPr>
    </w:p>
    <w:p>
      <w:pPr>
        <w:pStyle w:val="Heading2"/>
        <w:spacing w:before="160" w:after="120"/>
      </w:pPr>
      <w:r>
        <w:rPr>
          <w:rFonts w:ascii="맑은 고딕" w:hAnsi="맑은 고딕" w:eastAsia="맑은 고딕" w:cs="맑은 고딕"/>
          <w:b/>
          <w:color w:val="000000"/>
          <w:sz w:val="28"/>
        </w:rPr>
        <w:t>4.2 단계별 예산 (단위: 억 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55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13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인건비</w:t>
            </w:r>
          </w:p>
        </w:tc>
        <w:tc>
          <w:tcPr>
            <w:tcW w:type="dxa" w:w="113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HW/장비</w:t>
            </w:r>
          </w:p>
        </w:tc>
        <w:tc>
          <w:tcPr>
            <w:tcW w:type="dxa" w:w="113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데이터</w:t>
            </w:r>
          </w:p>
        </w:tc>
        <w:tc>
          <w:tcPr>
            <w:tcW w:type="dxa" w:w="113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기타</w:t>
            </w:r>
          </w:p>
        </w:tc>
        <w:tc>
          <w:tcPr>
            <w:tcW w:type="dxa" w:w="113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합계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Phase 1: PoC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43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Phase 2: 시범 검증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84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Phase 3: Pilot 양산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125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Phase 4: 본양산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62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70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35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195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총계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157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145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74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71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447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맑은 고딕" w:hAnsi="맑은 고딕" w:eastAsia="맑은 고딕" w:cs="맑은 고딕"/>
          <w:b/>
          <w:color w:val="002C5F"/>
          <w:sz w:val="36"/>
        </w:rPr>
        <w:t>5. 결론 및 의사결정 권고</w:t>
      </w:r>
    </w:p>
    <w:p>
      <w:pPr>
        <w:spacing w:after="160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센서퓨전 기술은 2024년을 기점으로 양산 가능 단계에 진입했으며, 현대자동차가 18개월 내 BEVFusion 기반 Camera-LiDAR 융합 시스템을 양산 차량에 적용하는 것이 기술·비용·시장 경쟁력 측면에서 최적입니다.</w:t>
      </w:r>
    </w:p>
    <w:p>
      <w:pPr>
        <w:pStyle w:val="Heading2"/>
        <w:spacing w:before="160" w:after="120"/>
      </w:pPr>
      <w:r>
        <w:rPr>
          <w:rFonts w:ascii="맑은 고딕" w:hAnsi="맑은 고딕" w:eastAsia="맑은 고딕" w:cs="맑은 고딕"/>
          <w:b/>
          <w:color w:val="000000"/>
          <w:sz w:val="28"/>
        </w:rPr>
        <w:t>5.1 즉시 의사결정 필요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4252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의사결정 내용</w:t>
            </w:r>
          </w:p>
        </w:tc>
        <w:tc>
          <w:tcPr>
            <w:tcW w:type="dxa" w:w="1984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책임</w:t>
            </w:r>
          </w:p>
        </w:tc>
        <w:tc>
          <w:tcPr>
            <w:tcW w:type="dxa" w:w="1701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기한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D1</w:t>
            </w:r>
          </w:p>
        </w:tc>
        <w:tc>
          <w:tcPr>
            <w:tcW w:type="dxa" w:w="425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BEVFusion 양산 채택</w:t>
            </w:r>
          </w:p>
        </w:tc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CTO 승인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2026.05까지</w:t>
            </w:r>
          </w:p>
        </w:tc>
      </w:tr>
      <w:tr>
        <w:tc>
          <w:tcPr>
            <w:tcW w:type="dxa" w:w="850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D2</w:t>
            </w:r>
          </w:p>
        </w:tc>
        <w:tc>
          <w:tcPr>
            <w:tcW w:type="dxa" w:w="4252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NVIDIA Drive Orin 듀얼 SoC 표준화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구매 + R&amp;D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2026.06까지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D3</w:t>
            </w:r>
          </w:p>
        </w:tc>
        <w:tc>
          <w:tcPr>
            <w:tcW w:type="dxa" w:w="425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한국 도로 데이터 1만시간 수집 착수</w:t>
            </w:r>
          </w:p>
        </w:tc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데이터 운영부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2026.07 착수</w:t>
            </w:r>
          </w:p>
        </w:tc>
      </w:tr>
      <w:tr>
        <w:tc>
          <w:tcPr>
            <w:tcW w:type="dxa" w:w="850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D4</w:t>
            </w:r>
          </w:p>
        </w:tc>
        <w:tc>
          <w:tcPr>
            <w:tcW w:type="dxa" w:w="4252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BEVFusion 라이선스 검토 (Apache 2.0)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법무·CSR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2026.05 검토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D5</w:t>
            </w:r>
          </w:p>
        </w:tc>
        <w:tc>
          <w:tcPr>
            <w:tcW w:type="dxa" w:w="425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EXYNOS V920 백업 SoC 협업</w:t>
            </w:r>
          </w:p>
        </w:tc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삼성 LSI 협의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2026.06 MOU</w:t>
            </w:r>
          </w:p>
        </w:tc>
      </w:tr>
    </w:tbl>
    <w:p>
      <w:pPr>
        <w:spacing w:after="120"/>
      </w:pPr>
    </w:p>
    <w:p>
      <w:pPr>
        <w:pStyle w:val="Heading2"/>
        <w:spacing w:before="160" w:after="120"/>
      </w:pPr>
      <w:r>
        <w:rPr>
          <w:rFonts w:ascii="맑은 고딕" w:hAnsi="맑은 고딕" w:eastAsia="맑은 고딕" w:cs="맑은 고딕"/>
          <w:b/>
          <w:color w:val="000000"/>
          <w:sz w:val="28"/>
        </w:rPr>
        <w:t>5.2 리스크 요약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Drive Thor 양산 지연(2026 SOP) 시 Phase 4 일정 영향 — 대안: Orin 듀얼 유지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한국 도로 데이터 수집 비용 초과(120억 → 200억 가능) — 합성 데이터 30% 활용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Apache 2.0 라이선스의 특허권 조항 — 법무 검토 필수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Foundation Model로의 paradigm shift — Phase 4 후반에 R&amp;D 별도 착수 권장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맑은 고딕" w:hAnsi="맑은 고딕" w:eastAsia="맑은 고딕" w:cs="맑은 고딕"/>
          <w:b/>
          <w:color w:val="002C5F"/>
          <w:sz w:val="36"/>
        </w:rPr>
        <w:t>부록 A. 참고 문헌 및 출처</w:t>
      </w:r>
    </w:p>
    <w:p>
      <w:r>
        <w:rPr>
          <w:rFonts w:ascii="맑은 고딕" w:hAnsi="맑은 고딕" w:eastAsia="맑은 고딕" w:cs="맑은 고딕"/>
          <w:b/>
          <w:color w:val="000000"/>
          <w:sz w:val="20"/>
        </w:rPr>
        <w:t xml:space="preserve">[1] </w:t>
      </w:r>
      <w:r>
        <w:rPr>
          <w:rFonts w:ascii="맑은 고딕" w:hAnsi="맑은 고딕" w:eastAsia="맑은 고딕" w:cs="맑은 고딕"/>
          <w:b w:val="0"/>
          <w:color w:val="000000"/>
          <w:sz w:val="20"/>
        </w:rPr>
        <w:t>Liu, Z. et al., "BEVFusion: Multi-Task Multi-Sensor Fusion with Unified Bird's-Eye View Representation", ICRA 2023 — arXiv:2205.13542</w:t>
      </w:r>
    </w:p>
    <w:p>
      <w:r>
        <w:rPr>
          <w:rFonts w:ascii="맑은 고딕" w:hAnsi="맑은 고딕" w:eastAsia="맑은 고딕" w:cs="맑은 고딕"/>
          <w:b/>
          <w:color w:val="000000"/>
          <w:sz w:val="20"/>
        </w:rPr>
        <w:t xml:space="preserve">[2] </w:t>
      </w:r>
      <w:r>
        <w:rPr>
          <w:rFonts w:ascii="맑은 고딕" w:hAnsi="맑은 고딕" w:eastAsia="맑은 고딕" w:cs="맑은 고딕"/>
          <w:b w:val="0"/>
          <w:color w:val="000000"/>
          <w:sz w:val="20"/>
        </w:rPr>
        <w:t>Bai, X. et al., "TransFusion: Robust LiDAR-Camera Fusion for 3D Object Detection with Transformers", CVPR 2022 — arXiv:2203.11496</w:t>
      </w:r>
    </w:p>
    <w:p>
      <w:r>
        <w:rPr>
          <w:rFonts w:ascii="맑은 고딕" w:hAnsi="맑은 고딕" w:eastAsia="맑은 고딕" w:cs="맑은 고딕"/>
          <w:b/>
          <w:color w:val="000000"/>
          <w:sz w:val="20"/>
        </w:rPr>
        <w:t xml:space="preserve">[3] </w:t>
      </w:r>
      <w:r>
        <w:rPr>
          <w:rFonts w:ascii="맑은 고딕" w:hAnsi="맑은 고딕" w:eastAsia="맑은 고딕" w:cs="맑은 고딕"/>
          <w:b w:val="0"/>
          <w:color w:val="000000"/>
          <w:sz w:val="20"/>
        </w:rPr>
        <w:t>Li, Y. et al., "DeepFusion: Lidar-Camera Deep Fusion for Multi-Modal 3D Object Detection", CVPR 2022 — arXiv:2203.08195</w:t>
      </w:r>
    </w:p>
    <w:p>
      <w:r>
        <w:rPr>
          <w:rFonts w:ascii="맑은 고딕" w:hAnsi="맑은 고딕" w:eastAsia="맑은 고딕" w:cs="맑은 고딕"/>
          <w:b/>
          <w:color w:val="000000"/>
          <w:sz w:val="20"/>
        </w:rPr>
        <w:t xml:space="preserve">[4] </w:t>
      </w:r>
      <w:r>
        <w:rPr>
          <w:rFonts w:ascii="맑은 고딕" w:hAnsi="맑은 고딕" w:eastAsia="맑은 고딕" w:cs="맑은 고딕"/>
          <w:b w:val="0"/>
          <w:color w:val="000000"/>
          <w:sz w:val="20"/>
        </w:rPr>
        <w:t>Chen, X. et al., "FUTR3D: A Unified Sensor Fusion Framework for 3D Detection", arXiv:2203.10642</w:t>
      </w:r>
    </w:p>
    <w:p>
      <w:r>
        <w:rPr>
          <w:rFonts w:ascii="맑은 고딕" w:hAnsi="맑은 고딕" w:eastAsia="맑은 고딕" w:cs="맑은 고딕"/>
          <w:b/>
          <w:color w:val="000000"/>
          <w:sz w:val="20"/>
        </w:rPr>
        <w:t xml:space="preserve">[5] </w:t>
      </w:r>
      <w:r>
        <w:rPr>
          <w:rFonts w:ascii="맑은 고딕" w:hAnsi="맑은 고딕" w:eastAsia="맑은 고딕" w:cs="맑은 고딕"/>
          <w:b w:val="0"/>
          <w:color w:val="000000"/>
          <w:sz w:val="20"/>
        </w:rPr>
        <w:t>Yang, C. et al., "BEVFormer v2", CVPR 2023 — arXiv:2211.10439</w:t>
      </w:r>
    </w:p>
    <w:p>
      <w:r>
        <w:rPr>
          <w:rFonts w:ascii="맑은 고딕" w:hAnsi="맑은 고딕" w:eastAsia="맑은 고딕" w:cs="맑은 고딕"/>
          <w:b/>
          <w:color w:val="000000"/>
          <w:sz w:val="20"/>
        </w:rPr>
        <w:t xml:space="preserve">[6] </w:t>
      </w:r>
      <w:r>
        <w:rPr>
          <w:rFonts w:ascii="맑은 고딕" w:hAnsi="맑은 고딕" w:eastAsia="맑은 고딕" w:cs="맑은 고딕"/>
          <w:b w:val="0"/>
          <w:color w:val="000000"/>
          <w:sz w:val="20"/>
        </w:rPr>
        <w:t>Chen, Y. et al., "FocalFormer3D", ICCV 2023 — arXiv:2308.04556</w:t>
      </w:r>
    </w:p>
    <w:p>
      <w:r>
        <w:rPr>
          <w:rFonts w:ascii="맑은 고딕" w:hAnsi="맑은 고딕" w:eastAsia="맑은 고딕" w:cs="맑은 고딕"/>
          <w:b/>
          <w:color w:val="000000"/>
          <w:sz w:val="20"/>
        </w:rPr>
        <w:t xml:space="preserve">[7] </w:t>
      </w:r>
      <w:r>
        <w:rPr>
          <w:rFonts w:ascii="맑은 고딕" w:hAnsi="맑은 고딕" w:eastAsia="맑은 고딕" w:cs="맑은 고딕"/>
          <w:b w:val="0"/>
          <w:color w:val="000000"/>
          <w:sz w:val="20"/>
        </w:rPr>
        <w:t>nuScenes Detection Leaderboard (https://nuscenes.org/object-detection)</w:t>
      </w:r>
    </w:p>
    <w:p>
      <w:r>
        <w:rPr>
          <w:rFonts w:ascii="맑은 고딕" w:hAnsi="맑은 고딕" w:eastAsia="맑은 고딕" w:cs="맑은 고딕"/>
          <w:b/>
          <w:color w:val="000000"/>
          <w:sz w:val="20"/>
        </w:rPr>
        <w:t xml:space="preserve">[8] </w:t>
      </w:r>
      <w:r>
        <w:rPr>
          <w:rFonts w:ascii="맑은 고딕" w:hAnsi="맑은 고딕" w:eastAsia="맑은 고딕" w:cs="맑은 고딕"/>
          <w:b w:val="0"/>
          <w:color w:val="000000"/>
          <w:sz w:val="20"/>
        </w:rPr>
        <w:t>NVIDIA Drive Orin/Thor Datasheet, 2024</w:t>
      </w:r>
    </w:p>
    <w:p>
      <w:r>
        <w:rPr>
          <w:rFonts w:ascii="맑은 고딕" w:hAnsi="맑은 고딕" w:eastAsia="맑은 고딕" w:cs="맑은 고딕"/>
          <w:b/>
          <w:color w:val="000000"/>
          <w:sz w:val="20"/>
        </w:rPr>
        <w:t xml:space="preserve">[9] </w:t>
      </w:r>
      <w:r>
        <w:rPr>
          <w:rFonts w:ascii="맑은 고딕" w:hAnsi="맑은 고딕" w:eastAsia="맑은 고딕" w:cs="맑은 고딕"/>
          <w:b w:val="0"/>
          <w:color w:val="000000"/>
          <w:sz w:val="20"/>
        </w:rPr>
        <w:t>Mobileye EyeQ Family Specification, 2024</w:t>
      </w:r>
    </w:p>
    <w:p>
      <w:r>
        <w:rPr>
          <w:rFonts w:ascii="맑은 고딕" w:hAnsi="맑은 고딕" w:eastAsia="맑은 고딕" w:cs="맑은 고딕"/>
          <w:b/>
          <w:color w:val="000000"/>
          <w:sz w:val="20"/>
        </w:rPr>
        <w:t xml:space="preserve">[10] </w:t>
      </w:r>
      <w:r>
        <w:rPr>
          <w:rFonts w:ascii="맑은 고딕" w:hAnsi="맑은 고딕" w:eastAsia="맑은 고딕" w:cs="맑은 고딕"/>
          <w:b w:val="0"/>
          <w:color w:val="000000"/>
          <w:sz w:val="20"/>
        </w:rPr>
        <w:t>ISO 26262:2018 Functional Safety for Road Vehicles</w:t>
      </w:r>
    </w:p>
    <w:p>
      <w:r>
        <w:rPr>
          <w:rFonts w:ascii="맑은 고딕" w:hAnsi="맑은 고딕" w:eastAsia="맑은 고딕" w:cs="맑은 고딕"/>
          <w:b/>
          <w:color w:val="000000"/>
          <w:sz w:val="20"/>
        </w:rPr>
        <w:t xml:space="preserve">[11] </w:t>
      </w:r>
      <w:r>
        <w:rPr>
          <w:rFonts w:ascii="맑은 고딕" w:hAnsi="맑은 고딕" w:eastAsia="맑은 고딕" w:cs="맑은 고딕"/>
          <w:b w:val="0"/>
          <w:color w:val="000000"/>
          <w:sz w:val="20"/>
        </w:rPr>
        <w:t>AUTOSAR Adaptive Platform Release R23-11</w:t>
      </w:r>
    </w:p>
    <w:p>
      <w:pPr>
        <w:pStyle w:val="Heading1"/>
        <w:spacing w:before="240" w:after="120"/>
      </w:pPr>
      <w:r>
        <w:rPr>
          <w:rFonts w:ascii="맑은 고딕" w:hAnsi="맑은 고딕" w:eastAsia="맑은 고딕" w:cs="맑은 고딕"/>
          <w:b/>
          <w:color w:val="002C5F"/>
          <w:sz w:val="36"/>
        </w:rPr>
        <w:t>부록 B. 용어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6520"/>
            <w:vAlign w:val="center"/>
            <w:shd w:val="clear" w:color="auto" w:fill="002C5F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BEV</w:t>
            </w:r>
          </w:p>
        </w:tc>
        <w:tc>
          <w:tcPr>
            <w:tcW w:type="dxa" w:w="65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Bird's-Eye View — 차량을 위에서 내려다본 평면 좌표계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mAP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mean Average Precision — 객체 검출 정확도 평균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NDS</w:t>
            </w:r>
          </w:p>
        </w:tc>
        <w:tc>
          <w:tcPr>
            <w:tcW w:type="dxa" w:w="65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nuScenes Detection Score — mAP·mATE 등 통합 지표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mATE/mAOE/mAVE/mAAE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위치/방향/속도/속성 오차 평균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ASIL</w:t>
            </w:r>
          </w:p>
        </w:tc>
        <w:tc>
          <w:tcPr>
            <w:tcW w:type="dxa" w:w="65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Automotive Safety Integrity Level (ISO 26262)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AUTOSAR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AUTomotive Open System ARchitecture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OTA</w:t>
            </w:r>
          </w:p>
        </w:tc>
        <w:tc>
          <w:tcPr>
            <w:tcW w:type="dxa" w:w="65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Over-The-Air 무선 업데이트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TOPS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Tera Operations Per Second — AI 연산 성능 단위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Strangler Fig</w:t>
            </w:r>
          </w:p>
        </w:tc>
        <w:tc>
          <w:tcPr>
            <w:tcW w:type="dxa" w:w="652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레거시 시스템 점진 대체 패턴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LoRA</w:t>
            </w:r>
          </w:p>
        </w:tc>
        <w:tc>
          <w:tcPr>
            <w:tcW w:type="dxa" w:w="6520"/>
            <w:vAlign w:val="center"/>
            <w:shd w:val="clear" w:color="auto" w:fill="F2F2F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0"/>
              </w:rPr>
              <w:t>Low-Rank Adaptation — 부분 가중치만 학습하는 경량 fine-tuning</w:t>
            </w:r>
          </w:p>
        </w:tc>
      </w:tr>
    </w:tbl>
    <w:p>
      <w:pPr>
        <w:spacing w:after="120"/>
      </w:pPr>
    </w:p>
    <w:p/>
    <w:p>
      <w:pPr>
        <w:pBdr>
          <w:bottom w:val="single" w:sz="12" w:space="1" w:color="00AAD2"/>
        </w:pBdr>
      </w:pPr>
    </w:p>
    <w:p>
      <w:pPr>
        <w:spacing w:before="120"/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18"/>
        </w:rPr>
        <w:t>본 문서는 현대자동차 자율주행개발센터 내부 의사결정용으로 작성된 기밀 자료입니다. 외부 유출 및 무단 복제를 금지합니다.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color w:val="000000"/>
        <w:sz w:val="18"/>
      </w:rPr>
      <w:t xml:space="preserve">- </w:t>
    </w:r>
    <w:r>
      <w:rPr>
        <w:rFonts w:ascii="맑은 고딕" w:hAnsi="맑은 고딕" w:eastAsia="맑은 고딕" w:cs="맑은 고딕"/>
        <w:b w:val="0"/>
        <w:color w:val="000000"/>
        <w:sz w:val="18"/>
      </w:rPr>
      <w:fldChar w:fldCharType="begin"/>
      <w:instrText xml:space="preserve">PAGE \* MERGEFORMAT</w:instrText>
      <w:fldChar w:fldCharType="end"/>
    </w:r>
    <w:r>
      <w:rPr>
        <w:rFonts w:ascii="맑은 고딕" w:hAnsi="맑은 고딕" w:eastAsia="맑은 고딕" w:cs="맑은 고딕"/>
        <w:b w:val="0"/>
        <w:color w:val="000000"/>
        <w:sz w:val="18"/>
      </w:rPr>
      <w:t xml:space="preserve"> / </w:t>
    </w:r>
    <w:r>
      <w:rPr>
        <w:rFonts w:ascii="맑은 고딕" w:hAnsi="맑은 고딕" w:eastAsia="맑은 고딕" w:cs="맑은 고딕"/>
        <w:b w:val="0"/>
        <w:color w:val="000000"/>
        <w:sz w:val="18"/>
      </w:rPr>
      <w:fldChar w:fldCharType="begin"/>
      <w:instrText xml:space="preserve">NUMPAGES \* MERGEFORMAT</w:instrText>
      <w:fldChar w:fldCharType="end"/>
    </w:r>
    <w:r>
      <w:rPr>
        <w:rFonts w:ascii="맑은 고딕" w:hAnsi="맑은 고딕" w:eastAsia="맑은 고딕" w:cs="맑은 고딕"/>
        <w:b w:val="0"/>
        <w:color w:val="000000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color w:val="555555"/>
        <w:sz w:val="18"/>
      </w:rPr>
      <w:t>HYUNDAI MOTOR · 자율주행 센서퓨전 벤치마크 보고서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