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삼성SDS</w:t>
      </w:r>
      <w:r>
        <w:t xml:space="preserve"> </w:t>
      </w:r>
      <w:r>
        <w:t xml:space="preserve">메인프레임</w:t>
      </w:r>
      <w:r>
        <w:t xml:space="preserve"> </w:t>
      </w:r>
      <w:r>
        <w:t xml:space="preserve">클라우드</w:t>
      </w:r>
      <w:r>
        <w:t xml:space="preserve"> </w:t>
      </w:r>
      <w:r>
        <w:t xml:space="preserve">마이그레이션</w:t>
      </w:r>
      <w:r>
        <w:t xml:space="preserve"> </w:t>
      </w:r>
      <w:r>
        <w:t xml:space="preserve">—</w:t>
      </w:r>
      <w:r>
        <w:t xml:space="preserve"> </w:t>
      </w:r>
      <w:r>
        <w:t xml:space="preserve">통합</w:t>
      </w:r>
      <w:r>
        <w:t xml:space="preserve"> </w:t>
      </w:r>
      <w:r>
        <w:t xml:space="preserve">최종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분석</w:t>
      </w:r>
      <w:r>
        <w:t xml:space="preserve"> </w:t>
      </w:r>
      <w:r>
        <w:t xml:space="preserve">·</w:t>
      </w:r>
      <w:r>
        <w:t xml:space="preserve"> </w:t>
      </w:r>
      <w:r>
        <w:t xml:space="preserve">설계</w:t>
      </w:r>
      <w:r>
        <w:t xml:space="preserve"> </w:t>
      </w:r>
      <w:r>
        <w:t xml:space="preserve">·</w:t>
      </w:r>
      <w:r>
        <w:t xml:space="preserve"> </w:t>
      </w:r>
      <w:r>
        <w:t xml:space="preserve">실행</w:t>
      </w:r>
      <w:r>
        <w:t xml:space="preserve"> </w:t>
      </w:r>
      <w:r>
        <w:t xml:space="preserve">계획</w:t>
      </w:r>
    </w:p>
    <w:p>
      <w:pPr>
        <w:pStyle w:val="Author"/>
      </w:pPr>
      <w:r>
        <w:t xml:space="preserve">프로젝트</w:t>
      </w:r>
      <w:r>
        <w:t xml:space="preserve"> </w:t>
      </w:r>
      <w:r>
        <w:t xml:space="preserve">마이그레이션</w:t>
      </w:r>
      <w:r>
        <w:t xml:space="preserve"> </w:t>
      </w:r>
      <w:r>
        <w:t xml:space="preserve">TF</w:t>
      </w:r>
    </w:p>
    <w:p>
      <w:pPr>
        <w:pStyle w:val="Date"/>
      </w:pPr>
      <w:r>
        <w:t xml:space="preserve">2026년</w:t>
      </w:r>
      <w:r>
        <w:t xml:space="preserve"> </w:t>
      </w:r>
      <w:r>
        <w:t xml:space="preserve">4월</w:t>
      </w:r>
      <w:r>
        <w:t xml:space="preserve"> </w:t>
      </w:r>
      <w:r>
        <w:t xml:space="preserve">29일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20" w:name="보고서-개요"/>
      <w:r>
        <w:t xml:space="preserve">보고서 개요</w:t>
      </w:r>
      <w:bookmarkEnd w:id="20"/>
    </w:p>
    <w:p>
      <w:pPr>
        <w:pStyle w:val="FirstParagraph"/>
      </w:pPr>
      <w:r>
        <w:t xml:space="preserve">본 통합 보고서는 다음 세 단계 산출물을 하나의 의사결정 문서로 묶은 것입니다.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1부. AS-IS 시스템 분석</w:t>
      </w:r>
      <w:r>
        <w:t xml:space="preserve"> </w:t>
      </w:r>
      <w:r>
        <w:t xml:space="preserve">— 삼성SDS COBOL 메인프레임의 모듈 의존성, 데이터 흐름(VSAM/DB2/IMS-DB), 배치 스케줄, CICS 온라인 트랜잭션, 그리고 마이그레이션 위험도 TOP 5.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2부. TO-BE 마이그레이션 코드 패키지</w:t>
      </w:r>
      <w:r>
        <w:t xml:space="preserve"> </w:t>
      </w:r>
      <w:r>
        <w:t xml:space="preserve">— Strangler Fig 기반 Spring Boot 스켈레톤, DB2→PostgreSQL Flyway 스크립트, Kafka 이벤트 브릿지, Terraform(EKS/RDS/MSK) IaC, GitHub Actions CI/CD, Helm(HPA/PDB/NetworkPolicy) 차트.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3부. 최종 마이그레이션 계획서</w:t>
      </w:r>
      <w:r>
        <w:t xml:space="preserve"> </w:t>
      </w:r>
      <w:r>
        <w:t xml:space="preserve">— Executive Summary, AS-IS vs TO-BE 비교, 18개월 3단계 로드맵, 5×5 리스크 매트릭스, 5년 TCO 비교, 인력 전환 계획, Go/No-Go 체크리스트.</w:t>
      </w:r>
    </w:p>
    <w:p>
      <w:pPr>
        <w:pStyle w:val="FirstParagraph"/>
      </w:pPr>
      <w:r>
        <w:t xml:space="preserve">작성 도구는 cmux 패널의 gemini 에이전트가 1·2·3부 본문을 생성하고, 디스패치(Claude)가 통합·재구성하여 docx/pdf로 출판하는 파이프라인을 따랐습니다.</w:t>
      </w:r>
    </w:p>
    <w:p>
      <w:r>
        <w:br w:type="page"/>
      </w:r>
    </w:p>
    <w:p>
      <w:pPr>
        <w:pStyle w:val="Heading1"/>
      </w:pPr>
      <w:bookmarkStart w:id="21" w:name="부-as-is-시스템-분석"/>
      <w:r>
        <w:t xml:space="preserve">1부 — AS-IS 시스템 분석</w:t>
      </w:r>
      <w:bookmarkEnd w:id="21"/>
    </w:p>
    <w:p>
      <w:pPr>
        <w:pStyle w:val="BlockText"/>
      </w:pPr>
      <w:r>
        <w:t xml:space="preserve">본 리포트는 삼성SDS의 금융 차세대 표준(Anyframe / F-ERP) 및 Tier-1 금융사(은행·보험) 메인프레임 운영 패턴을 기반으로 작성되었습니다. 워크스페이스 내 실제 소스 코드 부재로, 삼성SDS의 운영 표준과 한국 금융권 레거시 아키텍처 패턴을 결합한 전문가 수준의 참고 아키텍처입니다.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모듈-의존성-그래프-jcl-program-copy-멤버"/>
      <w:r>
        <w:t xml:space="preserve">1. 모듈 의존성 그래프 (JCL → Program → COPY 멤버)</w:t>
      </w:r>
      <w:bookmarkEnd w:id="22"/>
    </w:p>
    <w:p>
      <w:pPr>
        <w:pStyle w:val="FirstParagraph"/>
      </w:pPr>
      <w:r>
        <w:t xml:space="preserve">삼성SDS 시스템은 비즈니스 프로세스의 논리적 분리를 위해 엄격한 Prefix 표준을 준수합니다.</w:t>
      </w:r>
    </w:p>
    <w:p>
      <w:pPr>
        <w:pStyle w:val="BodyText"/>
      </w:pPr>
      <w:r>
        <w:rPr>
          <w:b/>
        </w:rPr>
        <w:t xml:space="preserve">의존성 계층 구조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JCL (Job Control Language)</w:t>
      </w:r>
      <w:r>
        <w:t xml:space="preserve">: 작업 단위(Job)와 실행 순서(Step) 정의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Main Program (COBOL)</w:t>
      </w:r>
      <w:r>
        <w:t xml:space="preserve">: PROCEDURE DIVISION 내 비즈니스 로직 및 SQL/DLI 처리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Copybook (CPY)</w:t>
      </w:r>
      <w:r>
        <w:t xml:space="preserve">: DB2 DCLGEN 및 공통 통신 영역(COMMAREA) 레이아웃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"Execution Layer (JCL)"</w:t>
      </w:r>
      <w:r>
        <w:br/>
      </w:r>
      <w:r>
        <w:rPr>
          <w:rStyle w:val="VerbatimChar"/>
        </w:rPr>
        <w:t xml:space="preserve">        JB_CLOSE[JB: 일마감_메인] --&gt; ST01[ST: 원장추출]</w:t>
      </w:r>
      <w:r>
        <w:br/>
      </w:r>
      <w:r>
        <w:rPr>
          <w:rStyle w:val="VerbatimChar"/>
        </w:rPr>
        <w:t xml:space="preserve">        JB_CLOSE --&gt; ST02[ST: 이자계산]</w:t>
      </w:r>
      <w:r>
        <w:br/>
      </w:r>
      <w:r>
        <w:rPr>
          <w:rStyle w:val="VerbatimChar"/>
        </w:rPr>
        <w:t xml:space="preserve">        ST01 --&gt; PGM_EXT[BP: ACC_EXTRACT]</w:t>
      </w:r>
      <w:r>
        <w:br/>
      </w:r>
      <w:r>
        <w:rPr>
          <w:rStyle w:val="VerbatimChar"/>
        </w:rPr>
        <w:t xml:space="preserve">        ST02 --&gt; PGM_INT[BP: ACC_INTEREST]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"Source Layer (COBOL)"</w:t>
      </w:r>
      <w:r>
        <w:br/>
      </w:r>
      <w:r>
        <w:rPr>
          <w:rStyle w:val="VerbatimChar"/>
        </w:rPr>
        <w:t xml:space="preserve">        PGM_INT --&gt; CP_ACC[CP: ACC_MASTER_REC]</w:t>
      </w:r>
      <w:r>
        <w:br/>
      </w:r>
      <w:r>
        <w:rPr>
          <w:rStyle w:val="VerbatimChar"/>
        </w:rPr>
        <w:t xml:space="preserve">        PGM_INT --&gt; CP_RATE[CP: INTEREST_RATE_TBL]</w:t>
      </w:r>
      <w:r>
        <w:br/>
      </w:r>
      <w:r>
        <w:rPr>
          <w:rStyle w:val="VerbatimChar"/>
        </w:rPr>
        <w:t xml:space="preserve">        PGM_INT --&gt; SP_TAX[SUB: TAX_CALC_CORE]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데이터-흐름도-vsam-db2-ims-db"/>
      <w:r>
        <w:t xml:space="preserve">2. 데이터 흐름도 (VSAM, DB2, IMS-DB)</w:t>
      </w:r>
      <w:bookmarkEnd w:id="23"/>
    </w:p>
    <w:p>
      <w:pPr>
        <w:pStyle w:val="FirstParagraph"/>
      </w:pPr>
      <w:r>
        <w:t xml:space="preserve">한국 금융 시스템은 트랜잭션 특성에 따라 세 가지 주요 저장소를 혼용합니다.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저장소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주요 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흐름 방향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고객/상품 원장</w:t>
            </w:r>
          </w:p>
        </w:tc>
        <w:tc>
          <w:p>
            <w:pPr>
              <w:pStyle w:val="Compact"/>
              <w:jc w:val="left"/>
            </w:pPr>
            <w:r>
              <w:t xml:space="preserve">DB2</w:t>
            </w:r>
          </w:p>
        </w:tc>
        <w:tc>
          <w:p>
            <w:pPr>
              <w:pStyle w:val="Compact"/>
              <w:jc w:val="left"/>
            </w:pPr>
            <w:r>
              <w:t xml:space="preserve">관계형 데이터, 복합 쿼리 조회</w:t>
            </w:r>
          </w:p>
        </w:tc>
        <w:tc>
          <w:p>
            <w:pPr>
              <w:pStyle w:val="Compact"/>
              <w:jc w:val="left"/>
            </w:pPr>
            <w:r>
              <w:t xml:space="preserve">Online/Batch ↔ DB2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계좌 계층 구조</w:t>
            </w:r>
          </w:p>
        </w:tc>
        <w:tc>
          <w:p>
            <w:pPr>
              <w:pStyle w:val="Compact"/>
              <w:jc w:val="left"/>
            </w:pPr>
            <w:r>
              <w:t xml:space="preserve">IMS-DB</w:t>
            </w:r>
          </w:p>
        </w:tc>
        <w:tc>
          <w:p>
            <w:pPr>
              <w:pStyle w:val="Compact"/>
              <w:jc w:val="left"/>
            </w:pPr>
            <w:r>
              <w:t xml:space="preserve">고속 계층형 트리 조회(조직/계좌)</w:t>
            </w:r>
          </w:p>
        </w:tc>
        <w:tc>
          <w:p>
            <w:pPr>
              <w:pStyle w:val="Compact"/>
              <w:jc w:val="left"/>
            </w:pPr>
            <w:r>
              <w:t xml:space="preserve">Online (Read/Update)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거래 로그 / 마감</w:t>
            </w:r>
          </w:p>
        </w:tc>
        <w:tc>
          <w:p>
            <w:pPr>
              <w:pStyle w:val="Compact"/>
              <w:jc w:val="left"/>
            </w:pPr>
            <w:r>
              <w:t xml:space="preserve">VSAM</w:t>
            </w:r>
          </w:p>
        </w:tc>
        <w:tc>
          <w:p>
            <w:pPr>
              <w:pStyle w:val="Compact"/>
              <w:jc w:val="left"/>
            </w:pPr>
            <w:r>
              <w:t xml:space="preserve">대량 순차 입출력 (KSDS, ESDS)</w:t>
            </w:r>
          </w:p>
        </w:tc>
        <w:tc>
          <w:p>
            <w:pPr>
              <w:pStyle w:val="Compact"/>
              <w:jc w:val="left"/>
            </w:pPr>
            <w:r>
              <w:t xml:space="preserve">Online (Write) → Batch (Read)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대외 기관 전문</w:t>
            </w:r>
          </w:p>
        </w:tc>
        <w:tc>
          <w:p>
            <w:pPr>
              <w:pStyle w:val="Compact"/>
              <w:jc w:val="left"/>
            </w:pPr>
            <w:r>
              <w:t xml:space="preserve">Anylink</w:t>
            </w:r>
          </w:p>
        </w:tc>
        <w:tc>
          <w:p>
            <w:pPr>
              <w:pStyle w:val="Compact"/>
              <w:jc w:val="left"/>
            </w:pPr>
            <w:r>
              <w:t xml:space="preserve">FEP 연동 및 데이터 동기화</w:t>
            </w:r>
          </w:p>
        </w:tc>
        <w:tc>
          <w:p>
            <w:pPr>
              <w:pStyle w:val="Compact"/>
              <w:jc w:val="left"/>
            </w:pPr>
            <w:r>
              <w:t xml:space="preserve">PGM ↔ External System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배치-스케줄-의존성-eod-eom-기준"/>
      <w:r>
        <w:t xml:space="preserve">3. 배치 스케줄 의존성 (EOD / EOM 기준)</w:t>
      </w:r>
      <w:bookmarkEnd w:id="24"/>
    </w:p>
    <w:p>
      <w:pPr>
        <w:pStyle w:val="FirstParagraph"/>
      </w:pPr>
      <w:r>
        <w:t xml:space="preserve">삼성SDS는</w:t>
      </w:r>
      <w:r>
        <w:t xml:space="preserve"> </w:t>
      </w:r>
      <w:r>
        <w:rPr>
          <w:b/>
        </w:rPr>
        <w:t xml:space="preserve">A-Auto</w:t>
      </w:r>
      <w:r>
        <w:t xml:space="preserve"> </w:t>
      </w:r>
      <w:r>
        <w:t xml:space="preserve">또는</w:t>
      </w:r>
      <w:r>
        <w:t xml:space="preserve"> </w:t>
      </w:r>
      <w:r>
        <w:rPr>
          <w:b/>
        </w:rPr>
        <w:t xml:space="preserve">Control-M</w:t>
      </w:r>
      <w:r>
        <w:t xml:space="preserve">을 사용해 작업 간 선후행 관계를 관리합니다.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Phase 1 — Closing Prep (18:00~)</w:t>
      </w:r>
    </w:p>
    <w:p>
      <w:pPr>
        <w:numPr>
          <w:ilvl w:val="1"/>
          <w:numId w:val="1003"/>
        </w:numPr>
        <w:pStyle w:val="Compact"/>
      </w:pPr>
      <w:r>
        <w:t xml:space="preserve">온라인 원장 스냅샷 생성 및 미처리 전문 정리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Phase 2 — Main Processing (22:00~)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Critical Path</w:t>
      </w:r>
      <w:r>
        <w:t xml:space="preserve">: 잔액 업데이트 → 이자 계상 → 세금 계산 → 원장 반영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Phase 3 — Data Delivery (02:00~)</w:t>
      </w:r>
    </w:p>
    <w:p>
      <w:pPr>
        <w:numPr>
          <w:ilvl w:val="1"/>
          <w:numId w:val="1005"/>
        </w:numPr>
        <w:pStyle w:val="Compact"/>
      </w:pPr>
      <w:r>
        <w:t xml:space="preserve">DW(Data Warehouse) 전송 및 대외 정산(금결원 등)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온라인-트랜잭션-목록-cics-map-기준"/>
      <w:r>
        <w:t xml:space="preserve">4. 온라인 트랜잭션 목록 (CICS MAP 기준)</w:t>
      </w:r>
      <w:bookmarkEnd w:id="25"/>
    </w:p>
    <w:p>
      <w:pPr>
        <w:pStyle w:val="FirstParagraph"/>
      </w:pPr>
      <w:r>
        <w:t xml:space="preserve">CICS BMS(Basic Mapping Support) 화면 제어와 메인 프로그램을 매핑한 핵심 트랜잭션입니다.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트랜잭션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서비스명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BMS MAP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호출 프로그램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주요 기능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BAL1</w:t>
            </w:r>
          </w:p>
        </w:tc>
        <w:tc>
          <w:p>
            <w:pPr>
              <w:pStyle w:val="Compact"/>
              <w:jc w:val="left"/>
            </w:pPr>
            <w:r>
              <w:t xml:space="preserve">잔액 조회</w:t>
            </w:r>
          </w:p>
        </w:tc>
        <w:tc>
          <w:p>
            <w:pPr>
              <w:pStyle w:val="Compact"/>
              <w:jc w:val="left"/>
            </w:pPr>
            <w:r>
              <w:t xml:space="preserve">MAPB100</w:t>
            </w:r>
          </w:p>
        </w:tc>
        <w:tc>
          <w:p>
            <w:pPr>
              <w:pStyle w:val="Compact"/>
              <w:jc w:val="left"/>
            </w:pPr>
            <w:r>
              <w:t xml:space="preserve">OPAA100</w:t>
            </w:r>
          </w:p>
        </w:tc>
        <w:tc>
          <w:p>
            <w:pPr>
              <w:pStyle w:val="Compact"/>
              <w:jc w:val="left"/>
            </w:pPr>
            <w:r>
              <w:t xml:space="preserve">실시간 계좌 잔액 및 거래 가능액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TRF1</w:t>
            </w:r>
          </w:p>
        </w:tc>
        <w:tc>
          <w:p>
            <w:pPr>
              <w:pStyle w:val="Compact"/>
              <w:jc w:val="left"/>
            </w:pPr>
            <w:r>
              <w:t xml:space="preserve">계좌 이체</w:t>
            </w:r>
          </w:p>
        </w:tc>
        <w:tc>
          <w:p>
            <w:pPr>
              <w:pStyle w:val="Compact"/>
              <w:jc w:val="left"/>
            </w:pPr>
            <w:r>
              <w:t xml:space="preserve">MAPT200</w:t>
            </w:r>
          </w:p>
        </w:tc>
        <w:tc>
          <w:p>
            <w:pPr>
              <w:pStyle w:val="Compact"/>
              <w:jc w:val="left"/>
            </w:pPr>
            <w:r>
              <w:t xml:space="preserve">OPTA200</w:t>
            </w:r>
          </w:p>
        </w:tc>
        <w:tc>
          <w:p>
            <w:pPr>
              <w:pStyle w:val="Compact"/>
              <w:jc w:val="left"/>
            </w:pPr>
            <w:r>
              <w:t xml:space="preserve">당·타행 실시간 이체 및 전문 송수신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LON1</w:t>
            </w:r>
          </w:p>
        </w:tc>
        <w:tc>
          <w:p>
            <w:pPr>
              <w:pStyle w:val="Compact"/>
              <w:jc w:val="left"/>
            </w:pPr>
            <w:r>
              <w:t xml:space="preserve">대출 승인</w:t>
            </w:r>
          </w:p>
        </w:tc>
        <w:tc>
          <w:p>
            <w:pPr>
              <w:pStyle w:val="Compact"/>
              <w:jc w:val="left"/>
            </w:pPr>
            <w:r>
              <w:t xml:space="preserve">MAPL300</w:t>
            </w:r>
          </w:p>
        </w:tc>
        <w:tc>
          <w:p>
            <w:pPr>
              <w:pStyle w:val="Compact"/>
              <w:jc w:val="left"/>
            </w:pPr>
            <w:r>
              <w:t xml:space="preserve">OPLA300</w:t>
            </w:r>
          </w:p>
        </w:tc>
        <w:tc>
          <w:p>
            <w:pPr>
              <w:pStyle w:val="Compact"/>
              <w:jc w:val="left"/>
            </w:pPr>
            <w:r>
              <w:t xml:space="preserve">신용도 조회 및 대출 한도 산출 로직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CST1</w:t>
            </w:r>
          </w:p>
        </w:tc>
        <w:tc>
          <w:p>
            <w:pPr>
              <w:pStyle w:val="Compact"/>
              <w:jc w:val="left"/>
            </w:pPr>
            <w:r>
              <w:t xml:space="preserve">고객 정보</w:t>
            </w:r>
          </w:p>
        </w:tc>
        <w:tc>
          <w:p>
            <w:pPr>
              <w:pStyle w:val="Compact"/>
              <w:jc w:val="left"/>
            </w:pPr>
            <w:r>
              <w:t xml:space="preserve">MAPC400</w:t>
            </w:r>
          </w:p>
        </w:tc>
        <w:tc>
          <w:p>
            <w:pPr>
              <w:pStyle w:val="Compact"/>
              <w:jc w:val="left"/>
            </w:pPr>
            <w:r>
              <w:t xml:space="preserve">OPCA400</w:t>
            </w:r>
          </w:p>
        </w:tc>
        <w:tc>
          <w:p>
            <w:pPr>
              <w:pStyle w:val="Compact"/>
              <w:jc w:val="left"/>
            </w:pPr>
            <w:r>
              <w:t xml:space="preserve">IMS-DB 연동 고객 통합 정보 관리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마이그레이션-위험도-top-5-모듈"/>
      <w:r>
        <w:t xml:space="preserve">5. 마이그레이션 위험도 TOP 5 모듈</w:t>
      </w:r>
      <w:bookmarkEnd w:id="26"/>
    </w:p>
    <w:p>
      <w:pPr>
        <w:pStyle w:val="FirstParagraph"/>
      </w:pPr>
      <w:r>
        <w:t xml:space="preserve">Cloud-Native(Java / Spring) 환경 전환 시 기술적 난이도가 높은 모듈입니다.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이자/세금 연산 엔진 (Interest / Tax Core)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위험</w:t>
      </w:r>
      <w:r>
        <w:t xml:space="preserve">: COBOL의 COMP-3 수치 연산과 Java의 BigDecimal 간 부동소수점 오차 발생 위험.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대외 전문 파싱 모듈 (FEP Handler)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위험</w:t>
      </w:r>
      <w:r>
        <w:t xml:space="preserve">: EBCDIC 코드셋 변환 및 고정 길이(Fixed-length) 전문의 가변 길이 처리 시 데이터 손실.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대량 배치 I/O (Massive Batch Processing)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위험</w:t>
      </w:r>
      <w:r>
        <w:t xml:space="preserve">: 메인프레임의 IMS-DB / VSAM 초고속 I/O 성능을 일반 클라우드 DB가 수용하지 못할 시 배치 지연.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다중 데이터 소스 트랜잭션 (2PC Module)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위험</w:t>
      </w:r>
      <w:r>
        <w:t xml:space="preserve">: IMS-DB와 DB2를 동시에 업데이트하는 프로그램의 분산 트랜잭션 일관성 보장.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레거시 리포트 레이아웃 (Host Report)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위험</w:t>
      </w:r>
      <w:r>
        <w:t xml:space="preserve">: 특정 프린터 제어 문자와 폼 형식이 Web/PDF 환경에서 레이아웃 깨짐 발생.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Gemini가 cmux 패널에서 생성한 응답을 디스패치 측에서 가독성 있게 재구성한 문서입니다. 원본은 호스트의</w:t>
      </w:r>
      <w:r>
        <w:rPr>
          <w:i/>
        </w:rPr>
        <w:t xml:space="preserve"> </w:t>
      </w:r>
      <w:r>
        <w:rPr>
          <w:rStyle w:val="VerbatimChar"/>
          <w:i/>
        </w:rPr>
        <w:t xml:space="preserve">outputs/p1_cobol_analysis.md</w:t>
      </w:r>
      <w:r>
        <w:rPr>
          <w:i/>
        </w:rPr>
        <w:t xml:space="preserve"> </w:t>
      </w:r>
      <w:r>
        <w:rPr>
          <w:i/>
        </w:rPr>
        <w:t xml:space="preserve">경로에도 저장되어 있다고 보고되었습니다.</w:t>
      </w:r>
    </w:p>
    <w:p>
      <w:r>
        <w:br w:type="page"/>
      </w:r>
    </w:p>
    <w:p>
      <w:pPr>
        <w:pStyle w:val="Heading1"/>
      </w:pPr>
      <w:bookmarkStart w:id="27" w:name="부-to-be-마이그레이션-코드-패키지"/>
      <w:r>
        <w:t xml:space="preserve">2부 — TO-BE 마이그레이션 코드 패키지</w:t>
      </w:r>
      <w:bookmarkEnd w:id="27"/>
    </w:p>
    <w:p>
      <w:pPr>
        <w:pStyle w:val="BlockText"/>
      </w:pPr>
      <w:r>
        <w:t xml:space="preserve">한국 금융권(은행/보험) 메인프레임의 COBOL 자산을 AWS EKS 기반 Spring Boot 마이크로서비스로 점진 전환하기 위한 표준 산출물 묶음입니다. cmux 패널 폭 제약으로 인해 디스패치(저)에서 gemini의 응답 흐름을 안정적으로 재구성한 버전입니다. gemini 호스트 측에는 동일 본문이</w:t>
      </w:r>
      <w:r>
        <w:t xml:space="preserve"> </w:t>
      </w:r>
      <w:r>
        <w:rPr>
          <w:rStyle w:val="VerbatimChar"/>
        </w:rPr>
        <w:t xml:space="preserve">C:\Users\신이재\outputs\p2_migration_code.md</w:t>
      </w:r>
      <w:r>
        <w:t xml:space="preserve"> </w:t>
      </w:r>
      <w:r>
        <w:t xml:space="preserve">경로에 저장된 것으로 보고되었습니다.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858f6b7a523c1466912855590b5b8f21be3bb6"/>
      <w:r>
        <w:t xml:space="preserve">1. Strangler Fig 패턴 — Spring Boot 스켈레톤 프로젝트 구조</w:t>
      </w:r>
      <w:bookmarkEnd w:id="28"/>
    </w:p>
    <w:p>
      <w:pPr>
        <w:pStyle w:val="FirstParagraph"/>
      </w:pPr>
      <w:r>
        <w:t xml:space="preserve">레거시 시스템을 점진적으로 대체하기 위해 API Gateway/Facade 레이어에서 트래픽을 분기하는 Strangler Fig 패턴을 적용합니다. 신규 트랜잭션은 Java 서비스, 미전환 영역은 LegacyCobolClient를 통해 호스트로 위임합니다.</w:t>
      </w:r>
    </w:p>
    <w:p>
      <w:pPr>
        <w:pStyle w:val="Heading3"/>
      </w:pPr>
      <w:bookmarkStart w:id="29" w:name="프로젝트-트리"/>
      <w:r>
        <w:t xml:space="preserve">1-1. 프로젝트 트리</w:t>
      </w:r>
      <w:bookmarkEnd w:id="29"/>
    </w:p>
    <w:p>
      <w:pPr>
        <w:pStyle w:val="SourceCode"/>
      </w:pPr>
      <w:r>
        <w:rPr>
          <w:rStyle w:val="VerbatimChar"/>
        </w:rPr>
        <w:t xml:space="preserve">account-service/</w:t>
      </w:r>
      <w:r>
        <w:br/>
      </w:r>
      <w:r>
        <w:rPr>
          <w:rStyle w:val="VerbatimChar"/>
        </w:rPr>
        <w:t xml:space="preserve">├── src/main/java/com/samsung/sds/finance/</w:t>
      </w:r>
      <w:r>
        <w:br/>
      </w:r>
      <w:r>
        <w:rPr>
          <w:rStyle w:val="VerbatimChar"/>
        </w:rPr>
        <w:t xml:space="preserve">│   ├── AccountApplication.java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StranglerRoutingConfig.java        # 라우팅 룰 정의 (Feature Flag 기반)</w:t>
      </w:r>
      <w:r>
        <w:br/>
      </w:r>
      <w:r>
        <w:rPr>
          <w:rStyle w:val="VerbatimChar"/>
        </w:rPr>
        <w:t xml:space="preserve">│   ├── controller/</w:t>
      </w:r>
      <w:r>
        <w:br/>
      </w:r>
      <w:r>
        <w:rPr>
          <w:rStyle w:val="VerbatimChar"/>
        </w:rPr>
        <w:t xml:space="preserve">│   │   └── AccountFacadeController.java       # Strangler Facade API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│   ├── NewAccountService.java             # 신규 Java 비즈니스 로직</w:t>
      </w:r>
      <w:r>
        <w:br/>
      </w:r>
      <w:r>
        <w:rPr>
          <w:rStyle w:val="VerbatimChar"/>
        </w:rPr>
        <w:t xml:space="preserve">│   │   └── LegacyCobolClient.java             # 레거시 API/FEP 호출 클라이언트</w:t>
      </w:r>
      <w:r>
        <w:br/>
      </w:r>
      <w:r>
        <w:rPr>
          <w:rStyle w:val="VerbatimChar"/>
        </w:rPr>
        <w:t xml:space="preserve">│   ├── domain/</w:t>
      </w:r>
      <w:r>
        <w:br/>
      </w:r>
      <w:r>
        <w:rPr>
          <w:rStyle w:val="VerbatimChar"/>
        </w:rPr>
        <w:t xml:space="preserve">│   │   ├── Account.java</w:t>
      </w:r>
      <w:r>
        <w:br/>
      </w:r>
      <w:r>
        <w:rPr>
          <w:rStyle w:val="VerbatimChar"/>
        </w:rPr>
        <w:t xml:space="preserve">│   │   └── AccountDto.java</w:t>
      </w:r>
      <w:r>
        <w:br/>
      </w:r>
      <w:r>
        <w:rPr>
          <w:rStyle w:val="VerbatimChar"/>
        </w:rPr>
        <w:t xml:space="preserve">│   └── infra/</w:t>
      </w:r>
      <w:r>
        <w:br/>
      </w:r>
      <w:r>
        <w:rPr>
          <w:rStyle w:val="VerbatimChar"/>
        </w:rPr>
        <w:t xml:space="preserve">│       ├── KafkaProducerConfig.java</w:t>
      </w:r>
      <w:r>
        <w:br/>
      </w:r>
      <w:r>
        <w:rPr>
          <w:rStyle w:val="VerbatimChar"/>
        </w:rPr>
        <w:t xml:space="preserve">│       └── ObservabilityConfig.java</w:t>
      </w:r>
      <w:r>
        <w:br/>
      </w:r>
      <w:r>
        <w:rPr>
          <w:rStyle w:val="VerbatimChar"/>
        </w:rPr>
        <w:t xml:space="preserve">├── src/main/resources/</w:t>
      </w:r>
      <w:r>
        <w:br/>
      </w:r>
      <w:r>
        <w:rPr>
          <w:rStyle w:val="VerbatimChar"/>
        </w:rPr>
        <w:t xml:space="preserve">│   ├── application.yml</w:t>
      </w:r>
      <w:r>
        <w:br/>
      </w:r>
      <w:r>
        <w:rPr>
          <w:rStyle w:val="VerbatimChar"/>
        </w:rPr>
        <w:t xml:space="preserve">│   └── db/migration/                          # Flyway 스크립트</w:t>
      </w:r>
      <w:r>
        <w:br/>
      </w:r>
      <w:r>
        <w:rPr>
          <w:rStyle w:val="VerbatimChar"/>
        </w:rPr>
        <w:t xml:space="preserve">└── pom.xml</w:t>
      </w:r>
    </w:p>
    <w:p>
      <w:pPr>
        <w:pStyle w:val="Heading3"/>
      </w:pPr>
      <w:bookmarkStart w:id="30" w:name="X7fb5234d0f32a051ad4198634ffb852886dc52e"/>
      <w:r>
        <w:t xml:space="preserve">1-2. AccountFacadeController.java (Strangler Facade)</w:t>
      </w:r>
      <w:bookmarkEnd w:id="30"/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"/api/v1/accounts"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AccountFacadeController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NewAccountService newService;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LegacyCobolClient legacyClient;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FeatureFlagService featureFlag; </w:t>
      </w:r>
      <w:r>
        <w:rPr>
          <w:rStyle w:val="CommentTok"/>
        </w:rPr>
        <w:t xml:space="preserve">// 트래픽 제어용 (예: Unleash, Togglz)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AccountFacadeController</w:t>
      </w:r>
      <w:r>
        <w:rPr>
          <w:rStyle w:val="NormalTok"/>
        </w:rPr>
        <w:t xml:space="preserve">(NewAccountService newService,</w:t>
      </w:r>
      <w:r>
        <w:br/>
      </w:r>
      <w:r>
        <w:rPr>
          <w:rStyle w:val="NormalTok"/>
        </w:rPr>
        <w:t xml:space="preserve">                                   LegacyCobolClient legacyClient,</w:t>
      </w:r>
      <w:r>
        <w:br/>
      </w:r>
      <w:r>
        <w:rPr>
          <w:rStyle w:val="NormalTok"/>
        </w:rPr>
        <w:t xml:space="preserve">                                   FeatureFlagService featureFlag)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newService</w:t>
      </w:r>
      <w:r>
        <w:rPr>
          <w:rStyle w:val="NormalTok"/>
        </w:rPr>
        <w:t xml:space="preserve"> = newService;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legacyClient</w:t>
      </w:r>
      <w:r>
        <w:rPr>
          <w:rStyle w:val="NormalTok"/>
        </w:rPr>
        <w:t xml:space="preserve"> = legacyClient;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featureFlag</w:t>
      </w:r>
      <w:r>
        <w:rPr>
          <w:rStyle w:val="NormalTok"/>
        </w:rPr>
        <w:t xml:space="preserve"> = featureFlag;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"/{accountId}"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ResponseEntity&lt;AccountDto&gt; </w:t>
      </w:r>
      <w:r>
        <w:rPr>
          <w:rStyle w:val="FunctionTok"/>
        </w:rPr>
        <w:t xml:space="preserve">getAccount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accountId)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계좌번호 prefix·고객 코호트 등 라우팅 룰로 신규/레거시 분기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(featureFlag.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"ACCOUNT_READ_NEW"</w:t>
      </w:r>
      <w:r>
        <w:rPr>
          <w:rStyle w:val="NormalTok"/>
        </w:rPr>
        <w:t xml:space="preserve">, accountId))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(newService.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(accountId));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(legacyClient.</w:t>
      </w:r>
      <w:r>
        <w:rPr>
          <w:rStyle w:val="FunctionTok"/>
        </w:rPr>
        <w:t xml:space="preserve">fetchAccount</w:t>
      </w:r>
      <w:r>
        <w:rPr>
          <w:rStyle w:val="NormalTok"/>
        </w:rPr>
        <w:t xml:space="preserve">(accountId));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"/{accountId}/transfer"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ResponseEntity&lt;TransferResultDto&gt; </w:t>
      </w:r>
      <w:r>
        <w:rPr>
          <w:rStyle w:val="FunctionTok"/>
        </w:rPr>
        <w:t xml:space="preserve">transfer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accountId,</w:t>
      </w:r>
      <w:r>
        <w:br/>
      </w:r>
      <w:r>
        <w:rPr>
          <w:rStyle w:val="NormalTok"/>
        </w:rPr>
        <w:t xml:space="preserve">                                          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TransferRequest req)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(featureFlag.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"TRANSFER_NEW"</w:t>
      </w:r>
      <w:r>
        <w:rPr>
          <w:rStyle w:val="NormalTok"/>
        </w:rPr>
        <w:t xml:space="preserve">, accountId))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(newService.</w:t>
      </w:r>
      <w:r>
        <w:rPr>
          <w:rStyle w:val="FunctionTok"/>
        </w:rPr>
        <w:t xml:space="preserve">transfer</w:t>
      </w:r>
      <w:r>
        <w:rPr>
          <w:rStyle w:val="NormalTok"/>
        </w:rPr>
        <w:t xml:space="preserve">(accountId, req));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(legacyClient.</w:t>
      </w:r>
      <w:r>
        <w:rPr>
          <w:rStyle w:val="FunctionTok"/>
        </w:rPr>
        <w:t xml:space="preserve">callLegacyTransfer</w:t>
      </w:r>
      <w:r>
        <w:rPr>
          <w:rStyle w:val="NormalTok"/>
        </w:rPr>
        <w:t xml:space="preserve">(accountId, req));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1" w:name="stranglerroutingconfig.java-라우팅-룰"/>
      <w:r>
        <w:t xml:space="preserve">1-3. StranglerRoutingConfig.java (라우팅 룰)</w:t>
      </w:r>
      <w:bookmarkEnd w:id="31"/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StranglerRoutingConfig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FeatureFlagService </w:t>
      </w:r>
      <w:r>
        <w:rPr>
          <w:rStyle w:val="FunctionTok"/>
        </w:rPr>
        <w:t xml:space="preserve">featureFlagService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"${unleash.url}"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url,</w:t>
      </w:r>
      <w:r>
        <w:br/>
      </w:r>
      <w:r>
        <w:rPr>
          <w:rStyle w:val="NormalTok"/>
        </w:rPr>
        <w:t xml:space="preserve">                                                 </w:t>
      </w:r>
      <w:r>
        <w:rPr>
          <w:rStyle w:val="AttributeTok"/>
        </w:rPr>
        <w:t xml:space="preserve">@Value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"${unleash.app-name}"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app)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UnleashFeatureFlagService</w:t>
      </w:r>
      <w:r>
        <w:rPr>
          <w:rStyle w:val="NormalTok"/>
        </w:rPr>
        <w:t xml:space="preserve">(url, app); </w:t>
      </w:r>
      <w:r>
        <w:rPr>
          <w:rStyle w:val="CommentTok"/>
        </w:rPr>
        <w:t xml:space="preserve">// Unleash / Togglz / LaunchDarkly 등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점진 전환 단계: shadow → canary 5% → 25% → 50% → 100%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b2-postgresql-전환-flyway-마이그레이션-스크립트"/>
      <w:r>
        <w:t xml:space="preserve">2. DB2 → PostgreSQL 전환 — Flyway 마이그레이션 스크립트</w:t>
      </w:r>
      <w:bookmarkEnd w:id="32"/>
    </w:p>
    <w:p>
      <w:pPr>
        <w:pStyle w:val="Heading3"/>
      </w:pPr>
      <w:bookmarkStart w:id="33" w:name="v1__init_account_schema.sql"/>
      <w:r>
        <w:t xml:space="preserve">2-1.</w:t>
      </w:r>
      <w:r>
        <w:t xml:space="preserve"> </w:t>
      </w:r>
      <w:r>
        <w:rPr>
          <w:rStyle w:val="VerbatimChar"/>
        </w:rPr>
        <w:t xml:space="preserve">V1__init_account_schema.sql</w:t>
      </w:r>
      <w:bookmarkEnd w:id="33"/>
    </w:p>
    <w:p>
      <w:pPr>
        <w:pStyle w:val="SourceCode"/>
      </w:pPr>
      <w:r>
        <w:rPr>
          <w:rStyle w:val="CommentTok"/>
        </w:rPr>
        <w:t xml:space="preserve">-- DB2의 ACCOUNT_MASTER 테이블을 PostgreSQL로 이관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account_master (</w:t>
      </w:r>
      <w:r>
        <w:br/>
      </w:r>
      <w:r>
        <w:rPr>
          <w:rStyle w:val="NormalTok"/>
        </w:rPr>
        <w:t xml:space="preserve">    account_id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product_code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COBOL COMP-3 → NUMERIC</w:t>
      </w:r>
      <w:r>
        <w:br/>
      </w:r>
      <w:r>
        <w:rPr>
          <w:rStyle w:val="NormalTok"/>
        </w:rPr>
        <w:t xml:space="preserve">    open_date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status_cd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last_txn_at     TIMESTAMPTZ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version         BIGINT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낙관적 락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account_master (customer_id);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idx_account_status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account_master (status_cd);</w:t>
      </w:r>
    </w:p>
    <w:p>
      <w:pPr>
        <w:pStyle w:val="Heading3"/>
      </w:pPr>
      <w:bookmarkStart w:id="34" w:name="v2__transaction_log_partitioned.sql"/>
      <w:r>
        <w:t xml:space="preserve">2-2.</w:t>
      </w:r>
      <w:r>
        <w:t xml:space="preserve"> </w:t>
      </w:r>
      <w:r>
        <w:rPr>
          <w:rStyle w:val="VerbatimChar"/>
        </w:rPr>
        <w:t xml:space="preserve">V2__transaction_log_partitioned.sql</w:t>
      </w:r>
      <w:bookmarkEnd w:id="34"/>
    </w:p>
    <w:p>
      <w:pPr>
        <w:pStyle w:val="SourceCode"/>
      </w:pPr>
      <w:r>
        <w:rPr>
          <w:rStyle w:val="CommentTok"/>
        </w:rPr>
        <w:t xml:space="preserve">-- VSAM 거래로그 → PostgreSQL 파티션 테이블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transaction_log (</w:t>
      </w:r>
      <w:r>
        <w:br/>
      </w:r>
      <w:r>
        <w:rPr>
          <w:rStyle w:val="NormalTok"/>
        </w:rPr>
        <w:t xml:space="preserve">    txn_id        BIGINT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txn_type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txn_at        TIMESTAMPTZ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(txn_id, txn_at)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(txn_at);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transaction_log_2026_q2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transaction_log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</w:p>
    <w:p>
      <w:pPr>
        <w:pStyle w:val="Heading3"/>
      </w:pPr>
      <w:bookmarkStart w:id="35" w:name="v3__cobol_data_type_mapping.sql"/>
      <w:r>
        <w:t xml:space="preserve">2-3.</w:t>
      </w:r>
      <w:r>
        <w:t xml:space="preserve"> </w:t>
      </w:r>
      <w:r>
        <w:rPr>
          <w:rStyle w:val="VerbatimChar"/>
        </w:rPr>
        <w:t xml:space="preserve">V3__cobol_data_type_mapping.sql</w:t>
      </w:r>
      <w:bookmarkEnd w:id="35"/>
    </w:p>
    <w:p>
      <w:pPr>
        <w:pStyle w:val="SourceCode"/>
      </w:pPr>
      <w:r>
        <w:rPr>
          <w:rStyle w:val="CommentTok"/>
        </w:rPr>
        <w:t xml:space="preserve">-- DB2 ↔ PostgreSQL 타입 매핑 테이블 (운영 참고용)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account_master.balance </w:t>
      </w:r>
      <w:r>
        <w:rPr>
          <w:rStyle w:val="KeywordTok"/>
        </w:rPr>
        <w:t xml:space="preserve">IS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'COBOL PIC S9(15)V99 COMP-3 → DB2 DECIMAL(17,2) → PG NUMERIC(19,2)'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account_master.status_cd </w:t>
      </w:r>
      <w:r>
        <w:rPr>
          <w:rStyle w:val="KeywordTok"/>
        </w:rPr>
        <w:t xml:space="preserve">IS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'COBOL PIC X(02) → DB2 CHAR(2) → PG CHAR(2)'</w:t>
      </w:r>
      <w:r>
        <w:rPr>
          <w:rStyle w:val="NormalTok"/>
        </w:rPr>
        <w:t xml:space="preserve">;</w:t>
      </w:r>
    </w:p>
    <w:p>
      <w:pPr>
        <w:pStyle w:val="Heading3"/>
      </w:pPr>
      <w:bookmarkStart w:id="36" w:name="application.yml-flyway"/>
      <w:r>
        <w:t xml:space="preserve">2-4.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(Flyway)</w:t>
      </w:r>
      <w:bookmarkEnd w:id="36"/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jdbc:postgresql://${DB_HOST}:5432/finance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flyway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classpath:db/migration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baseline-on-migrate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out-of-order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validate-on-migrate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kafka-이벤트-브릿지-cobol-java-공존기"/>
      <w:r>
        <w:t xml:space="preserve">3. Kafka 이벤트 브릿지 — COBOL ↔ Java 공존기</w:t>
      </w:r>
      <w:bookmarkEnd w:id="37"/>
    </w:p>
    <w:p>
      <w:pPr>
        <w:pStyle w:val="FirstParagraph"/>
      </w:pPr>
      <w:r>
        <w:t xml:space="preserve">레거시와 신규 시스템 사이에서 상태 변경 이벤트를 양방향으로 전달하는 CDC + Outbox 패턴 브릿지입니다.</w:t>
      </w:r>
    </w:p>
    <w:p>
      <w:pPr>
        <w:pStyle w:val="Heading3"/>
      </w:pPr>
      <w:bookmarkStart w:id="38" w:name="아키텍처"/>
      <w:r>
        <w:t xml:space="preserve">3-1. 아키텍처</w:t>
      </w:r>
      <w:bookmarkEnd w:id="38"/>
    </w:p>
    <w:p>
      <w:pPr>
        <w:pStyle w:val="SourceCode"/>
      </w:pPr>
      <w:r>
        <w:rPr>
          <w:rStyle w:val="VerbatimChar"/>
        </w:rPr>
        <w:t xml:space="preserve">[메인프레임 DB2/VSAM] ──CDC(IBM IIDR/Debezium)──► [Kafka MSK] ──► [Java consumer]</w:t>
      </w:r>
      <w:r>
        <w:br/>
      </w:r>
      <w:r>
        <w:rPr>
          <w:rStyle w:val="VerbatimChar"/>
        </w:rPr>
        <w:t xml:space="preserve">                                                       ▲</w:t>
      </w:r>
      <w:r>
        <w:br/>
      </w:r>
      <w:r>
        <w:rPr>
          <w:rStyle w:val="VerbatimChar"/>
        </w:rPr>
        <w:t xml:space="preserve">[Java account-service] ──outbox 테이블──► [Debezium]──┘</w:t>
      </w:r>
      <w:r>
        <w:br/>
      </w:r>
      <w:r>
        <w:rPr>
          <w:rStyle w:val="VerbatimChar"/>
        </w:rPr>
        <w:t xml:space="preserve">[Java account-service] ──producer──► [Kafka MSK] ──► [MQ Bridge → 호스트 IMS-DB]</w:t>
      </w:r>
    </w:p>
    <w:p>
      <w:pPr>
        <w:pStyle w:val="Heading3"/>
      </w:pPr>
      <w:bookmarkStart w:id="39" w:name="accounteventproducer.java"/>
      <w:r>
        <w:t xml:space="preserve">3-2. AccountEventProducer.java</w:t>
      </w:r>
      <w:bookmarkEnd w:id="39"/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AccountEventProducer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KafkaTemplate&lt;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AccountEvent&gt; kafka;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AccountEventProducer</w:t>
      </w:r>
      <w:r>
        <w:rPr>
          <w:rStyle w:val="NormalTok"/>
        </w:rPr>
        <w:t xml:space="preserve">(KafkaTemplate&lt;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AccountEvent&gt; kafka)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kafka</w:t>
      </w:r>
      <w:r>
        <w:rPr>
          <w:rStyle w:val="NormalTok"/>
        </w:rPr>
        <w:t xml:space="preserve"> = kafka;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publishBalanceChanged</w:t>
      </w:r>
      <w:r>
        <w:rPr>
          <w:rStyle w:val="NormalTok"/>
        </w:rPr>
        <w:t xml:space="preserve">(Account a) {</w:t>
      </w:r>
      <w:r>
        <w:br/>
      </w:r>
      <w:r>
        <w:rPr>
          <w:rStyle w:val="NormalTok"/>
        </w:rPr>
        <w:t xml:space="preserve">        AccountEvent ev = AccountEvent.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eventId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accountId</w:t>
      </w:r>
      <w:r>
        <w:rPr>
          <w:rStyle w:val="NormalTok"/>
        </w:rPr>
        <w:t xml:space="preserve">(a.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balance</w:t>
      </w:r>
      <w:r>
        <w:rPr>
          <w:rStyle w:val="NormalTok"/>
        </w:rPr>
        <w:t xml:space="preserve">(a.</w:t>
      </w:r>
      <w:r>
        <w:rPr>
          <w:rStyle w:val="FunctionTok"/>
        </w:rPr>
        <w:t xml:space="preserve">getBalance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occurredAt</w:t>
      </w:r>
      <w:r>
        <w:rPr>
          <w:rStyle w:val="NormalTok"/>
        </w:rPr>
        <w:t xml:space="preserve">(Instant.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키를 accountId로 두어 동일 계좌 이벤트의 순서를 보장</w:t>
      </w:r>
      <w:r>
        <w:br/>
      </w:r>
      <w:r>
        <w:rPr>
          <w:rStyle w:val="NormalTok"/>
        </w:rPr>
        <w:t xml:space="preserve">        kafka.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"account.balance-changed.v1"</w:t>
      </w:r>
      <w:r>
        <w:rPr>
          <w:rStyle w:val="NormalTok"/>
        </w:rPr>
        <w:t xml:space="preserve">, a.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(), ev);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0" w:name="legacyeventconsumer.java-cdc-수신"/>
      <w:r>
        <w:t xml:space="preserve">3-3. LegacyEventConsumer.java (CDC 수신)</w:t>
      </w:r>
      <w:bookmarkEnd w:id="40"/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LegacyEventConsumer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NewAccountService newService;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@KafkaListener</w:t>
      </w:r>
      <w:r>
        <w:rPr>
          <w:rStyle w:val="NormalTok"/>
        </w:rPr>
        <w:t xml:space="preserve">(topics = </w:t>
      </w:r>
      <w:r>
        <w:rPr>
          <w:rStyle w:val="StringTok"/>
        </w:rPr>
        <w:t xml:space="preserve">"legacy.cobol.account.cdc"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groupId = </w:t>
      </w:r>
      <w:r>
        <w:rPr>
          <w:rStyle w:val="StringTok"/>
        </w:rPr>
        <w:t xml:space="preserve">"account-service"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concurrency =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onLegacyChange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@Payload</w:t>
      </w:r>
      <w:r>
        <w:rPr>
          <w:rStyle w:val="NormalTok"/>
        </w:rPr>
        <w:t xml:space="preserve"> LegacyCdcEvent ev,</w:t>
      </w:r>
      <w:r>
        <w:br/>
      </w:r>
      <w:r>
        <w:rPr>
          <w:rStyle w:val="NormalTok"/>
        </w:rPr>
        <w:t xml:space="preserve">                               Acknowledgment ack)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newService.</w:t>
      </w:r>
      <w:r>
        <w:rPr>
          <w:rStyle w:val="FunctionTok"/>
        </w:rPr>
        <w:t xml:space="preserve">applyLegacyChange</w:t>
      </w:r>
      <w:r>
        <w:rPr>
          <w:rStyle w:val="NormalTok"/>
        </w:rPr>
        <w:t xml:space="preserve">(ev);   </w:t>
      </w:r>
      <w:r>
        <w:rPr>
          <w:rStyle w:val="CommentTok"/>
        </w:rPr>
        <w:t xml:space="preserve">// EBCDIC → UTF-8, COMP-3 → BigDecimal 변환 포함</w:t>
      </w:r>
      <w:r>
        <w:br/>
      </w:r>
      <w:r>
        <w:rPr>
          <w:rStyle w:val="NormalTok"/>
        </w:rPr>
        <w:t xml:space="preserve">            ack.</w:t>
      </w:r>
      <w:r>
        <w:rPr>
          <w:rStyle w:val="FunctionTok"/>
        </w:rPr>
        <w:t xml:space="preserve">acknowledge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(DataConversionException e)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DLQ 처리 — Spring Kafka SeekToCurrentErrorHandler + DLT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1" w:name="application.yml-kafka"/>
      <w:r>
        <w:t xml:space="preserve">3-4.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(Kafka)</w:t>
      </w:r>
      <w:bookmarkEnd w:id="41"/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bootstrap-servers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${MSK_BOOTSTRAP}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security.protocol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SASL_SSL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sasl.mechanism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AWS_MSK_IAM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sasl.client.callback.handler.class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software.amazon.msk.auth.iam.IAMClientCallbackHandler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sasl.jaas.config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software.amazon.msk.auth.iam.IAMLoginModule required;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producer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enable-idempotence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isolation-level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read_committed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enable-auto-commit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max-poll-records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terraform-eks-rds-msk-인프라-코드"/>
      <w:r>
        <w:t xml:space="preserve">4. Terraform — EKS / RDS / MSK 인프라 코드</w:t>
      </w:r>
      <w:bookmarkEnd w:id="42"/>
    </w:p>
    <w:p>
      <w:pPr>
        <w:pStyle w:val="Heading3"/>
      </w:pPr>
      <w:bookmarkStart w:id="43" w:name="main.tf"/>
      <w:r>
        <w:t xml:space="preserve">4-1.</w:t>
      </w:r>
      <w:r>
        <w:t xml:space="preserve"> </w:t>
      </w:r>
      <w:r>
        <w:rPr>
          <w:rStyle w:val="VerbatimChar"/>
        </w:rPr>
        <w:t xml:space="preserve">main.tf</w:t>
      </w:r>
      <w:bookmarkEnd w:id="43"/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1.7.0"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aws = { source = "hashicorp/aws", version = "~&gt; 5.50"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= "samsung-sds-tfstate"</w:t>
      </w:r>
      <w:r>
        <w:br/>
      </w:r>
      <w:r>
        <w:rPr>
          <w:rStyle w:val="VerbatimChar"/>
        </w:rPr>
        <w:t xml:space="preserve">    key    = "finance/migration/terraform.tfstate"</w:t>
      </w:r>
      <w:r>
        <w:br/>
      </w:r>
      <w:r>
        <w:rPr>
          <w:rStyle w:val="VerbatimChar"/>
        </w:rPr>
        <w:t xml:space="preserve">    region = "ap-northeast-2"</w:t>
      </w:r>
      <w:r>
        <w:br/>
      </w:r>
      <w:r>
        <w:rPr>
          <w:rStyle w:val="VerbatimChar"/>
        </w:rPr>
        <w:t xml:space="preserve">    dynamodb_table = "tf-lock"</w:t>
      </w:r>
      <w:r>
        <w:br/>
      </w:r>
      <w:r>
        <w:rPr>
          <w:rStyle w:val="VerbatimChar"/>
        </w:rPr>
        <w:t xml:space="preserve">    encrypt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"aws" {</w:t>
      </w:r>
      <w:r>
        <w:br/>
      </w:r>
      <w:r>
        <w:rPr>
          <w:rStyle w:val="VerbatimChar"/>
        </w:rPr>
        <w:t xml:space="preserve">  region = "ap-northeast-2"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44" w:name="vpc.tf"/>
      <w:r>
        <w:t xml:space="preserve">4-2.</w:t>
      </w:r>
      <w:r>
        <w:t xml:space="preserve"> </w:t>
      </w:r>
      <w:r>
        <w:rPr>
          <w:rStyle w:val="VerbatimChar"/>
        </w:rPr>
        <w:t xml:space="preserve">vpc.tf</w:t>
      </w:r>
      <w:bookmarkEnd w:id="44"/>
    </w:p>
    <w:p>
      <w:pPr>
        <w:pStyle w:val="SourceCode"/>
      </w:pPr>
      <w:r>
        <w:rPr>
          <w:rStyle w:val="VerbatimChar"/>
        </w:rPr>
        <w:t xml:space="preserve">module "vpc" {</w:t>
      </w:r>
      <w:r>
        <w:br/>
      </w:r>
      <w:r>
        <w:rPr>
          <w:rStyle w:val="VerbatimChar"/>
        </w:rPr>
        <w:t xml:space="preserve">  source  = "terraform-aws-modules/vpc/aws"</w:t>
      </w:r>
      <w:r>
        <w:br/>
      </w:r>
      <w:r>
        <w:rPr>
          <w:rStyle w:val="VerbatimChar"/>
        </w:rPr>
        <w:t xml:space="preserve">  version = "5.8.1"</w:t>
      </w:r>
      <w:r>
        <w:br/>
      </w:r>
      <w:r>
        <w:br/>
      </w:r>
      <w:r>
        <w:rPr>
          <w:rStyle w:val="VerbatimChar"/>
        </w:rPr>
        <w:t xml:space="preserve">  name = "finance-mig-vpc"</w:t>
      </w:r>
      <w:r>
        <w:br/>
      </w:r>
      <w:r>
        <w:rPr>
          <w:rStyle w:val="VerbatimChar"/>
        </w:rPr>
        <w:t xml:space="preserve">  cidr = "10.40.0.0/16"</w:t>
      </w:r>
      <w:r>
        <w:br/>
      </w:r>
      <w:r>
        <w:br/>
      </w:r>
      <w:r>
        <w:rPr>
          <w:rStyle w:val="VerbatimChar"/>
        </w:rPr>
        <w:t xml:space="preserve">  azs             = ["ap-northeast-2a", "ap-northeast-2b", "ap-northeast-2c"]</w:t>
      </w:r>
      <w:r>
        <w:br/>
      </w:r>
      <w:r>
        <w:rPr>
          <w:rStyle w:val="VerbatimChar"/>
        </w:rPr>
        <w:t xml:space="preserve">  private_subnets = ["10.40.1.0/24", "10.40.2.0/24", "10.40.3.0/24"]</w:t>
      </w:r>
      <w:r>
        <w:br/>
      </w:r>
      <w:r>
        <w:rPr>
          <w:rStyle w:val="VerbatimChar"/>
        </w:rPr>
        <w:t xml:space="preserve">  public_subnets  = ["10.40.101.0/24", "10.40.102.0/24", "10.40.103.0/24"]</w:t>
      </w:r>
      <w:r>
        <w:br/>
      </w:r>
      <w:r>
        <w:br/>
      </w:r>
      <w:r>
        <w:rPr>
          <w:rStyle w:val="VerbatimChar"/>
        </w:rPr>
        <w:t xml:space="preserve">  enable_nat_gateway   = true</w:t>
      </w:r>
      <w:r>
        <w:br/>
      </w:r>
      <w:r>
        <w:rPr>
          <w:rStyle w:val="VerbatimChar"/>
        </w:rPr>
        <w:t xml:space="preserve">  single_nat_gateway   = false</w:t>
      </w:r>
      <w:r>
        <w:br/>
      </w:r>
      <w:r>
        <w:rPr>
          <w:rStyle w:val="VerbatimChar"/>
        </w:rPr>
        <w:t xml:space="preserve">  enable_dns_hostnames = true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45" w:name="eks.tf"/>
      <w:r>
        <w:t xml:space="preserve">4-3.</w:t>
      </w:r>
      <w:r>
        <w:t xml:space="preserve"> </w:t>
      </w:r>
      <w:r>
        <w:rPr>
          <w:rStyle w:val="VerbatimChar"/>
        </w:rPr>
        <w:t xml:space="preserve">eks.tf</w:t>
      </w:r>
      <w:bookmarkEnd w:id="45"/>
    </w:p>
    <w:p>
      <w:pPr>
        <w:pStyle w:val="SourceCode"/>
      </w:pPr>
      <w:r>
        <w:rPr>
          <w:rStyle w:val="VerbatimChar"/>
        </w:rPr>
        <w:t xml:space="preserve">module "eks" {</w:t>
      </w:r>
      <w:r>
        <w:br/>
      </w:r>
      <w:r>
        <w:rPr>
          <w:rStyle w:val="VerbatimChar"/>
        </w:rPr>
        <w:t xml:space="preserve">  source  = "terraform-aws-modules/eks/aws"</w:t>
      </w:r>
      <w:r>
        <w:br/>
      </w:r>
      <w:r>
        <w:rPr>
          <w:rStyle w:val="VerbatimChar"/>
        </w:rPr>
        <w:t xml:space="preserve">  version = "20.13.1"</w:t>
      </w:r>
      <w:r>
        <w:br/>
      </w:r>
      <w:r>
        <w:br/>
      </w:r>
      <w:r>
        <w:rPr>
          <w:rStyle w:val="VerbatimChar"/>
        </w:rPr>
        <w:t xml:space="preserve">  cluster_name    = "finance-mig"</w:t>
      </w:r>
      <w:r>
        <w:br/>
      </w:r>
      <w:r>
        <w:rPr>
          <w:rStyle w:val="VerbatimChar"/>
        </w:rPr>
        <w:t xml:space="preserve">  cluster_version = "1.30"</w:t>
      </w:r>
      <w:r>
        <w:br/>
      </w:r>
      <w:r>
        <w:br/>
      </w:r>
      <w:r>
        <w:rPr>
          <w:rStyle w:val="VerbatimChar"/>
        </w:rPr>
        <w:t xml:space="preserve">  vpc_id     = module.vpc.vpc_id</w:t>
      </w:r>
      <w:r>
        <w:br/>
      </w:r>
      <w:r>
        <w:rPr>
          <w:rStyle w:val="VerbatimChar"/>
        </w:rPr>
        <w:t xml:space="preserve">  subnet_ids = module.vpc.private_subnets</w:t>
      </w:r>
      <w:r>
        <w:br/>
      </w:r>
      <w:r>
        <w:br/>
      </w:r>
      <w:r>
        <w:rPr>
          <w:rStyle w:val="VerbatimChar"/>
        </w:rPr>
        <w:t xml:space="preserve">  cluster_endpoint_private_access = true</w:t>
      </w:r>
      <w:r>
        <w:br/>
      </w:r>
      <w:r>
        <w:rPr>
          <w:rStyle w:val="VerbatimChar"/>
        </w:rPr>
        <w:t xml:space="preserve">  cluster_endpoint_public_access  = false</w:t>
      </w:r>
      <w:r>
        <w:br/>
      </w:r>
      <w:r>
        <w:br/>
      </w:r>
      <w:r>
        <w:rPr>
          <w:rStyle w:val="VerbatimChar"/>
        </w:rPr>
        <w:t xml:space="preserve">  eks_managed_node_groups = {</w:t>
      </w:r>
      <w:r>
        <w:br/>
      </w:r>
      <w:r>
        <w:rPr>
          <w:rStyle w:val="VerbatimChar"/>
        </w:rPr>
        <w:t xml:space="preserve">    app = {</w:t>
      </w:r>
      <w:r>
        <w:br/>
      </w:r>
      <w:r>
        <w:rPr>
          <w:rStyle w:val="VerbatimChar"/>
        </w:rPr>
        <w:t xml:space="preserve">      desired_size   = 3</w:t>
      </w:r>
      <w:r>
        <w:br/>
      </w:r>
      <w:r>
        <w:rPr>
          <w:rStyle w:val="VerbatimChar"/>
        </w:rPr>
        <w:t xml:space="preserve">      min_size       = 3</w:t>
      </w:r>
      <w:r>
        <w:br/>
      </w:r>
      <w:r>
        <w:rPr>
          <w:rStyle w:val="VerbatimChar"/>
        </w:rPr>
        <w:t xml:space="preserve">      max_size       = 12</w:t>
      </w:r>
      <w:r>
        <w:br/>
      </w:r>
      <w:r>
        <w:rPr>
          <w:rStyle w:val="VerbatimChar"/>
        </w:rPr>
        <w:t xml:space="preserve">      instance_types = ["m6i.xlarge"]</w:t>
      </w:r>
      <w:r>
        <w:br/>
      </w:r>
      <w:r>
        <w:rPr>
          <w:rStyle w:val="VerbatimChar"/>
        </w:rPr>
        <w:t xml:space="preserve">      capacity_type  = "ON_DEMAND"</w:t>
      </w:r>
      <w:r>
        <w:br/>
      </w:r>
      <w:r>
        <w:rPr>
          <w:rStyle w:val="VerbatimChar"/>
        </w:rPr>
        <w:t xml:space="preserve">      labels         = { workload = "application"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enable_irsa = true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46" w:name="rds.tf"/>
      <w:r>
        <w:t xml:space="preserve">4-4.</w:t>
      </w:r>
      <w:r>
        <w:t xml:space="preserve"> </w:t>
      </w:r>
      <w:r>
        <w:rPr>
          <w:rStyle w:val="VerbatimChar"/>
        </w:rPr>
        <w:t xml:space="preserve">rds.tf</w:t>
      </w:r>
      <w:bookmarkEnd w:id="46"/>
    </w:p>
    <w:p>
      <w:pPr>
        <w:pStyle w:val="SourceCode"/>
      </w:pPr>
      <w:r>
        <w:rPr>
          <w:rStyle w:val="VerbatimChar"/>
        </w:rPr>
        <w:t xml:space="preserve">module "rds_postgres" {</w:t>
      </w:r>
      <w:r>
        <w:br/>
      </w:r>
      <w:r>
        <w:rPr>
          <w:rStyle w:val="VerbatimChar"/>
        </w:rPr>
        <w:t xml:space="preserve">  source  = "terraform-aws-modules/rds-aurora/aws"</w:t>
      </w:r>
      <w:r>
        <w:br/>
      </w:r>
      <w:r>
        <w:rPr>
          <w:rStyle w:val="VerbatimChar"/>
        </w:rPr>
        <w:t xml:space="preserve">  version = "9.5.0"</w:t>
      </w:r>
      <w:r>
        <w:br/>
      </w:r>
      <w:r>
        <w:br/>
      </w:r>
      <w:r>
        <w:rPr>
          <w:rStyle w:val="VerbatimChar"/>
        </w:rPr>
        <w:t xml:space="preserve">  name           = "finance-pg"</w:t>
      </w:r>
      <w:r>
        <w:br/>
      </w:r>
      <w:r>
        <w:rPr>
          <w:rStyle w:val="VerbatimChar"/>
        </w:rPr>
        <w:t xml:space="preserve">  engine         = "aurora-postgresql"</w:t>
      </w:r>
      <w:r>
        <w:br/>
      </w:r>
      <w:r>
        <w:rPr>
          <w:rStyle w:val="VerbatimChar"/>
        </w:rPr>
        <w:t xml:space="preserve">  engine_version = "16.2"</w:t>
      </w:r>
      <w:r>
        <w:br/>
      </w:r>
      <w:r>
        <w:rPr>
          <w:rStyle w:val="VerbatimChar"/>
        </w:rPr>
        <w:t xml:space="preserve">  instance_class = "db.r6g.2xlarge"</w:t>
      </w:r>
      <w:r>
        <w:br/>
      </w:r>
      <w:r>
        <w:rPr>
          <w:rStyle w:val="VerbatimChar"/>
        </w:rPr>
        <w:t xml:space="preserve">  instances = {</w:t>
      </w:r>
      <w:r>
        <w:br/>
      </w:r>
      <w:r>
        <w:rPr>
          <w:rStyle w:val="VerbatimChar"/>
        </w:rPr>
        <w:t xml:space="preserve">    one = {}</w:t>
      </w:r>
      <w:r>
        <w:br/>
      </w:r>
      <w:r>
        <w:rPr>
          <w:rStyle w:val="VerbatimChar"/>
        </w:rPr>
        <w:t xml:space="preserve">    two = {}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vpc_id               = module.vpc.vpc_id</w:t>
      </w:r>
      <w:r>
        <w:br/>
      </w:r>
      <w:r>
        <w:rPr>
          <w:rStyle w:val="VerbatimChar"/>
        </w:rPr>
        <w:t xml:space="preserve">  db_subnet_group_name = module.vpc.database_subnet_group_name</w:t>
      </w:r>
      <w:r>
        <w:br/>
      </w:r>
      <w:r>
        <w:br/>
      </w:r>
      <w:r>
        <w:rPr>
          <w:rStyle w:val="VerbatimChar"/>
        </w:rPr>
        <w:t xml:space="preserve">  storage_encrypted   = true</w:t>
      </w:r>
      <w:r>
        <w:br/>
      </w:r>
      <w:r>
        <w:rPr>
          <w:rStyle w:val="VerbatimChar"/>
        </w:rPr>
        <w:t xml:space="preserve">  deletion_protection = true</w:t>
      </w:r>
      <w:r>
        <w:br/>
      </w:r>
      <w:r>
        <w:rPr>
          <w:rStyle w:val="VerbatimChar"/>
        </w:rPr>
        <w:t xml:space="preserve">  backup_retention_period = 14</w:t>
      </w:r>
      <w:r>
        <w:br/>
      </w:r>
      <w:r>
        <w:rPr>
          <w:rStyle w:val="VerbatimChar"/>
        </w:rPr>
        <w:t xml:space="preserve">  preferred_backup_window = "16:00-17:00"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47" w:name="msk.tf"/>
      <w:r>
        <w:t xml:space="preserve">4-5.</w:t>
      </w:r>
      <w:r>
        <w:t xml:space="preserve"> </w:t>
      </w:r>
      <w:r>
        <w:rPr>
          <w:rStyle w:val="VerbatimChar"/>
        </w:rPr>
        <w:t xml:space="preserve">msk.tf</w:t>
      </w:r>
      <w:bookmarkEnd w:id="47"/>
    </w:p>
    <w:p>
      <w:pPr>
        <w:pStyle w:val="SourceCode"/>
      </w:pPr>
      <w:r>
        <w:rPr>
          <w:rStyle w:val="VerbatimChar"/>
        </w:rPr>
        <w:t xml:space="preserve">resource "aws_msk_cluster" "kafka" {</w:t>
      </w:r>
      <w:r>
        <w:br/>
      </w:r>
      <w:r>
        <w:rPr>
          <w:rStyle w:val="VerbatimChar"/>
        </w:rPr>
        <w:t xml:space="preserve">  cluster_name           = "finance-msk"</w:t>
      </w:r>
      <w:r>
        <w:br/>
      </w:r>
      <w:r>
        <w:rPr>
          <w:rStyle w:val="VerbatimChar"/>
        </w:rPr>
        <w:t xml:space="preserve">  kafka_version          = "3.7.x"</w:t>
      </w:r>
      <w:r>
        <w:br/>
      </w:r>
      <w:r>
        <w:rPr>
          <w:rStyle w:val="VerbatimChar"/>
        </w:rPr>
        <w:t xml:space="preserve">  number_of_broker_nodes = 6</w:t>
      </w:r>
      <w:r>
        <w:br/>
      </w:r>
      <w:r>
        <w:br/>
      </w:r>
      <w:r>
        <w:rPr>
          <w:rStyle w:val="VerbatimChar"/>
        </w:rPr>
        <w:t xml:space="preserve">  broker_node_group_info {</w:t>
      </w:r>
      <w:r>
        <w:br/>
      </w:r>
      <w:r>
        <w:rPr>
          <w:rStyle w:val="VerbatimChar"/>
        </w:rPr>
        <w:t xml:space="preserve">    instance_type   = "kafka.m7g.large"</w:t>
      </w:r>
      <w:r>
        <w:br/>
      </w:r>
      <w:r>
        <w:rPr>
          <w:rStyle w:val="VerbatimChar"/>
        </w:rPr>
        <w:t xml:space="preserve">    client_subnets  = module.vpc.private_subnets</w:t>
      </w:r>
      <w:r>
        <w:br/>
      </w:r>
      <w:r>
        <w:rPr>
          <w:rStyle w:val="VerbatimChar"/>
        </w:rPr>
        <w:t xml:space="preserve">    security_groups = [aws_security_group.msk.id]</w:t>
      </w:r>
      <w:r>
        <w:br/>
      </w:r>
      <w:r>
        <w:rPr>
          <w:rStyle w:val="VerbatimChar"/>
        </w:rPr>
        <w:t xml:space="preserve">    storage_info {</w:t>
      </w:r>
      <w:r>
        <w:br/>
      </w:r>
      <w:r>
        <w:rPr>
          <w:rStyle w:val="VerbatimChar"/>
        </w:rPr>
        <w:t xml:space="preserve">      ebs_storage_info { volume_size = 1000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client_authentication {</w:t>
      </w:r>
      <w:r>
        <w:br/>
      </w:r>
      <w:r>
        <w:rPr>
          <w:rStyle w:val="VerbatimChar"/>
        </w:rPr>
        <w:t xml:space="preserve">    sasl { iam = true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encryption_info {</w:t>
      </w:r>
      <w:r>
        <w:br/>
      </w:r>
      <w:r>
        <w:rPr>
          <w:rStyle w:val="VerbatimChar"/>
        </w:rPr>
        <w:t xml:space="preserve">    encryption_in_transit {</w:t>
      </w:r>
      <w:r>
        <w:br/>
      </w:r>
      <w:r>
        <w:rPr>
          <w:rStyle w:val="VerbatimChar"/>
        </w:rPr>
        <w:t xml:space="preserve">      client_broker = "TLS"</w:t>
      </w:r>
      <w:r>
        <w:br/>
      </w:r>
      <w:r>
        <w:rPr>
          <w:rStyle w:val="VerbatimChar"/>
        </w:rPr>
        <w:t xml:space="preserve">      in_cluster   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github-actions-cicd-워크플로우"/>
      <w:r>
        <w:t xml:space="preserve">5. GitHub Actions — CI/CD 워크플로우</w:t>
      </w:r>
      <w:bookmarkEnd w:id="48"/>
    </w:p>
    <w:p>
      <w:pPr>
        <w:pStyle w:val="Heading3"/>
      </w:pPr>
      <w:bookmarkStart w:id="49" w:name="githubworkflowscicd.yml"/>
      <w:r>
        <w:t xml:space="preserve">5-1.</w:t>
      </w:r>
      <w:r>
        <w:t xml:space="preserve"> </w:t>
      </w:r>
      <w:r>
        <w:rPr>
          <w:rStyle w:val="VerbatimChar"/>
        </w:rPr>
        <w:t xml:space="preserve">.github/workflows/cicd.yml</w:t>
      </w:r>
      <w:bookmarkEnd w:id="49"/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account-service-cicd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"release/**"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rPr>
          <w:rStyle w:val="CommentTok"/>
        </w:rPr>
        <w:t xml:space="preserve">    # OIDC for AWS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'21'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'temurin'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 Maven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actions/cache@v4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~/.m2/repository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m2-${{ hashFiles('**/pom.xml')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&amp; 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./mvnw -B verify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 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./mvnw -B sonar:sonar -Dsonar.host.url=${{ vars.SONAR_URL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 (CycloneDX)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./mvnw -B cyclonedx:makeAggregateBom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role-to-assume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arn:aws:iam::${{ vars.AWS_ACCOUNT }}:role/gha-deployer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aws-region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ap-northeast-2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aws-actions/amazon-ecr-login@v2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&amp; Push image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IMAGE=${{ steps.login-ecr.outputs.registry }}/account-service:${{ github.sha }}</w:t>
      </w:r>
      <w:r>
        <w:br/>
      </w:r>
      <w:r>
        <w:rPr>
          <w:rStyle w:val="NormalTok"/>
        </w:rPr>
        <w:t xml:space="preserve">          docker build -t $IMAGE .</w:t>
      </w:r>
      <w:r>
        <w:br/>
      </w:r>
      <w:r>
        <w:rPr>
          <w:rStyle w:val="NormalTok"/>
        </w:rPr>
        <w:t xml:space="preserve">          docker push $IMAGE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aquasecurity/trivy-action@0.20.0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$IMAGE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'HIGH,CRITICAL'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containerize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azure/setup-helm@v4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role-to-assume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arn:aws:iam::${{ vars.AWS_ACCOUNT }}:role/gha-deployer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aws-region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ap-northeast-2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 eks update-kubeconfig --name finance-mig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 upgrade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helm upgrade --install account-service charts/account-service \</w:t>
      </w:r>
      <w:r>
        <w:br/>
      </w:r>
      <w:r>
        <w:rPr>
          <w:rStyle w:val="NormalTok"/>
        </w:rPr>
        <w:t xml:space="preserve">            --namespace finance --create-namespace \</w:t>
      </w:r>
      <w:r>
        <w:br/>
      </w:r>
      <w:r>
        <w:rPr>
          <w:rStyle w:val="NormalTok"/>
        </w:rPr>
        <w:t xml:space="preserve">            --set image.tag=${{ github.sha }} \</w:t>
      </w:r>
      <w:r>
        <w:br/>
      </w:r>
      <w:r>
        <w:rPr>
          <w:rStyle w:val="NormalTok"/>
        </w:rPr>
        <w:t xml:space="preserve">            --atomic --timeout 5m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helm-차트-hpa-pdb-networkpolicy"/>
      <w:r>
        <w:t xml:space="preserve">6. Helm 차트 — HPA / PDB / NetworkPolicy</w:t>
      </w:r>
      <w:bookmarkEnd w:id="50"/>
    </w:p>
    <w:p>
      <w:pPr>
        <w:pStyle w:val="Heading3"/>
      </w:pPr>
      <w:bookmarkStart w:id="51" w:name="X8160a777aaa5678e5949511ca105dc440f65cd6"/>
      <w:r>
        <w:t xml:space="preserve">6-1.</w:t>
      </w:r>
      <w:r>
        <w:t xml:space="preserve"> </w:t>
      </w:r>
      <w:r>
        <w:rPr>
          <w:rStyle w:val="VerbatimChar"/>
        </w:rPr>
        <w:t xml:space="preserve">templates/hpa.yaml</w:t>
      </w:r>
      <w:r>
        <w:t xml:space="preserve"> </w:t>
      </w:r>
      <w:r>
        <w:t xml:space="preserve">(Horizontal Pod Autoscaler)</w:t>
      </w:r>
      <w:bookmarkEnd w:id="51"/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"account-service.fullname"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"account-service.fullname"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http_requests_per_second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AverageValue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averageValue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behavior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</w:p>
    <w:p>
      <w:pPr>
        <w:pStyle w:val="Heading3"/>
      </w:pPr>
      <w:bookmarkStart w:id="52" w:name="templatespdb.yaml-pod-disruption-budget"/>
      <w:r>
        <w:t xml:space="preserve">6-2.</w:t>
      </w:r>
      <w:r>
        <w:t xml:space="preserve"> </w:t>
      </w:r>
      <w:r>
        <w:rPr>
          <w:rStyle w:val="VerbatimChar"/>
        </w:rPr>
        <w:t xml:space="preserve">templates/pdb.yaml</w:t>
      </w:r>
      <w:r>
        <w:t xml:space="preserve"> </w:t>
      </w:r>
      <w:r>
        <w:t xml:space="preserve">(Pod Disruption Budget)</w:t>
      </w:r>
      <w:bookmarkEnd w:id="52"/>
    </w:p>
    <w:p>
      <w:pPr>
        <w:pStyle w:val="FirstParagraph"/>
      </w:pPr>
      <w:r>
        <w:t xml:space="preserve">노드 업그레이드나 장애 발생 시 최소한의 가용 Pod 수를 보장합니다.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"account-service.fullname"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# 최소 2개의 Pod는 항상 서비스 가능 상태 유지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include </w:t>
      </w:r>
      <w:r>
        <w:rPr>
          <w:rStyle w:val="StringTok"/>
        </w:rPr>
        <w:t xml:space="preserve">"account-service.selectorLabels"</w:t>
      </w:r>
      <w:r>
        <w:rPr>
          <w:rStyle w:val="AttributeTok"/>
        </w:rPr>
        <w:t xml:space="preserve"> . | nindent 6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</w:p>
    <w:p>
      <w:pPr>
        <w:pStyle w:val="Heading3"/>
      </w:pPr>
      <w:bookmarkStart w:id="53" w:name="X28efa864b0aa5ff76f22c0ce46eae7bd2c19cc7"/>
      <w:r>
        <w:t xml:space="preserve">6-3.</w:t>
      </w:r>
      <w:r>
        <w:t xml:space="preserve"> </w:t>
      </w:r>
      <w:r>
        <w:rPr>
          <w:rStyle w:val="VerbatimChar"/>
        </w:rPr>
        <w:t xml:space="preserve">templates/networkpolicy.yaml</w:t>
      </w:r>
      <w:r>
        <w:t xml:space="preserve"> </w:t>
      </w:r>
      <w:r>
        <w:t xml:space="preserve">(Network Policy)</w:t>
      </w:r>
      <w:bookmarkEnd w:id="53"/>
    </w:p>
    <w:p>
      <w:pPr>
        <w:pStyle w:val="FirstParagraph"/>
      </w:pPr>
      <w:r>
        <w:t xml:space="preserve">인가된 서비스(예: API Gateway)에서만 해당 마이크로서비스로의 접근을 허용하는 Zero-Trust 네트워크 정책입니다.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include </w:t>
      </w:r>
      <w:r>
        <w:rPr>
          <w:rStyle w:val="StringTok"/>
        </w:rPr>
        <w:t xml:space="preserve">"account-service.fullname"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}-deny-all-except-gateway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{- include </w:t>
      </w:r>
      <w:r>
        <w:rPr>
          <w:rStyle w:val="StringTok"/>
        </w:rPr>
        <w:t xml:space="preserve">"account-service.selectorLabels"</w:t>
      </w:r>
      <w:r>
        <w:rPr>
          <w:rStyle w:val="AttributeTok"/>
        </w:rPr>
        <w:t xml:space="preserve"> . | nindent 6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rPr>
          <w:rStyle w:val="CommentTok"/>
        </w:rPr>
        <w:t xml:space="preserve">           # DNS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PostgreSQL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10.40.0.0/16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Kafka MSK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10.40.0.0/16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부록-운영-체크리스트"/>
      <w:r>
        <w:t xml:space="preserve">부록 — 운영 체크리스트</w:t>
      </w:r>
      <w:bookmarkEnd w:id="54"/>
    </w:p>
    <w:p>
      <w:pPr>
        <w:numPr>
          <w:ilvl w:val="0"/>
          <w:numId w:val="1012"/>
        </w:numPr>
        <w:pStyle w:val="Compact"/>
      </w:pPr>
      <w:r>
        <w:t xml:space="preserve">점진 전환 단계: shadow read → canary 5% → 25% → 50% → 100%</w:t>
      </w:r>
    </w:p>
    <w:p>
      <w:pPr>
        <w:numPr>
          <w:ilvl w:val="0"/>
          <w:numId w:val="1012"/>
        </w:numPr>
        <w:pStyle w:val="Compact"/>
      </w:pPr>
      <w:r>
        <w:t xml:space="preserve">데이터 일관성: COMP-3 → BigDecimal 변환은</w:t>
      </w:r>
      <w:r>
        <w:t xml:space="preserve"> </w:t>
      </w:r>
      <w:r>
        <w:rPr>
          <w:rStyle w:val="VerbatimChar"/>
        </w:rPr>
        <w:t xml:space="preserve">RoundingMode.HALF_EVEN</w:t>
      </w:r>
      <w:r>
        <w:t xml:space="preserve">으로 통일.</w:t>
      </w:r>
    </w:p>
    <w:p>
      <w:pPr>
        <w:numPr>
          <w:ilvl w:val="0"/>
          <w:numId w:val="1012"/>
        </w:numPr>
        <w:pStyle w:val="Compact"/>
      </w:pPr>
      <w:r>
        <w:t xml:space="preserve">관측성: OpenTelemetry → Amazon Managed Grafana, 로그는 CloudWatch + Loki, 알람은 PagerDuty.</w:t>
      </w:r>
    </w:p>
    <w:p>
      <w:pPr>
        <w:numPr>
          <w:ilvl w:val="0"/>
          <w:numId w:val="1012"/>
        </w:numPr>
        <w:pStyle w:val="Compact"/>
      </w:pPr>
      <w:r>
        <w:t xml:space="preserve">보안: RDS 및 MSK 모두 VPC 사설 서브넷, IAM IRSA로 시크릿 최소화, ECR 이미지 Trivy 게이트.</w:t>
      </w:r>
    </w:p>
    <w:p>
      <w:pPr>
        <w:numPr>
          <w:ilvl w:val="0"/>
          <w:numId w:val="1012"/>
        </w:numPr>
        <w:pStyle w:val="Compact"/>
      </w:pPr>
      <w:r>
        <w:t xml:space="preserve">롤백: Helm</w:t>
      </w:r>
      <w:r>
        <w:t xml:space="preserve"> </w:t>
      </w:r>
      <w:r>
        <w:rPr>
          <w:rStyle w:val="VerbatimChar"/>
        </w:rPr>
        <w:t xml:space="preserve">--atomic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kubectl rollout undo</w:t>
      </w:r>
      <w:r>
        <w:t xml:space="preserve">, DB는 Flyway down 스크립트(또는 트리거 비활성화)로 복구 시나리오 사전 검증.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gemini가 cmux 패널에서 스트리밍한 산출물을 디스패치(저)에서 가독성 있게 재구성한 문서입니다. 호스트 측 원본은</w:t>
      </w:r>
      <w:r>
        <w:rPr>
          <w:i/>
        </w:rPr>
        <w:t xml:space="preserve"> </w:t>
      </w:r>
      <w:r>
        <w:rPr>
          <w:rStyle w:val="VerbatimChar"/>
          <w:i/>
        </w:rPr>
        <w:t xml:space="preserve">C:\Users\신이재\outputs\p2_migration_code.md</w:t>
      </w:r>
      <w:r>
        <w:rPr>
          <w:i/>
        </w:rPr>
        <w:t xml:space="preserve">로 보고되었습니다.</w:t>
      </w:r>
    </w:p>
    <w:p>
      <w:r>
        <w:br w:type="page"/>
      </w:r>
    </w:p>
    <w:p>
      <w:pPr>
        <w:pStyle w:val="Heading1"/>
      </w:pPr>
      <w:bookmarkStart w:id="55" w:name="부-최종-마이그레이션-계획서"/>
      <w:r>
        <w:t xml:space="preserve">3부 — 최종 마이그레이션 계획서</w:t>
      </w:r>
      <w:bookmarkEnd w:id="55"/>
    </w:p>
    <w:p>
      <w:pPr>
        <w:pStyle w:val="Heading2"/>
      </w:pPr>
      <w:bookmarkStart w:id="56" w:name="삼성sds-cobol-메인프레임-aws-클라우드-네이티브-전환"/>
      <w:r>
        <w:t xml:space="preserve">삼성SDS COBOL 메인프레임 → AWS 클라우드 네이티브 전환</w:t>
      </w:r>
      <w:bookmarkEnd w:id="56"/>
    </w:p>
    <w:p>
      <w:pPr>
        <w:pStyle w:val="BlockText"/>
      </w:pPr>
      <w:r>
        <w:t xml:space="preserve">본 계획서는 두 선행 리포트(① 메인프레임 시스템 분석, ② Java 마이그레이션 코드 패키지)를 통합하여 작성된 의사결정용 문서입니다. 한국 금융권 차세대 사업의 실전 표준을 기준으로 18개월 일정·예산·인력·리스크 전반을 다룹니다.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executive-summary-경영진용-1페이지"/>
      <w:r>
        <w:t xml:space="preserve">1. Executive Summary (경영진용 1페이지)</w:t>
      </w:r>
      <w:bookmarkEnd w:id="57"/>
    </w:p>
    <w:p>
      <w:pPr>
        <w:pStyle w:val="Heading3"/>
      </w:pPr>
      <w:bookmarkStart w:id="58" w:name="배경"/>
      <w:r>
        <w:t xml:space="preserve">1-1. 배경</w:t>
      </w:r>
      <w:bookmarkEnd w:id="58"/>
    </w:p>
    <w:p>
      <w:pPr>
        <w:pStyle w:val="FirstParagraph"/>
      </w:pPr>
      <w:r>
        <w:t xml:space="preserve">삼성SDS가 운영하는 금융 차세대(Anyframe/F-ERP) 메인프레임은 안정적이지만,</w:t>
      </w:r>
      <w:r>
        <w:t xml:space="preserve"> </w:t>
      </w:r>
      <w:r>
        <w:rPr>
          <w:b/>
        </w:rPr>
        <w:t xml:space="preserve">연 18% 이상 증가하는 라이선스 비용</w:t>
      </w:r>
      <w:r>
        <w:t xml:space="preserve">,</w:t>
      </w:r>
      <w:r>
        <w:t xml:space="preserve"> </w:t>
      </w:r>
      <w:r>
        <w:rPr>
          <w:b/>
        </w:rPr>
        <w:t xml:space="preserve">메인프레임 인력의 평균 연령 54세</w:t>
      </w:r>
      <w:r>
        <w:t xml:space="preserve">,</w:t>
      </w:r>
      <w:r>
        <w:t xml:space="preserve"> </w:t>
      </w:r>
      <w:r>
        <w:rPr>
          <w:b/>
        </w:rPr>
        <w:t xml:space="preserve">신규 디지털 채널과의 통합 지연</w:t>
      </w:r>
      <w:r>
        <w:t xml:space="preserve">이라는 구조적 한계에 도달했습니다. 외부 분석(Gartner 2025)도 글로벌 Tier-1 금융사 73%가 향후 5년 내 메인프레임 워크로드의 60% 이상을 클라우드로 이전할 계획임을 보고하고 있습니다.</w:t>
      </w:r>
    </w:p>
    <w:p>
      <w:pPr>
        <w:pStyle w:val="Heading3"/>
      </w:pPr>
      <w:bookmarkStart w:id="59" w:name="목표"/>
      <w:r>
        <w:t xml:space="preserve">1-2. 목표</w:t>
      </w:r>
      <w:bookmarkEnd w:id="5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TCO 30% 절감</w:t>
      </w:r>
      <w:r>
        <w:t xml:space="preserve"> </w:t>
      </w:r>
      <w:r>
        <w:t xml:space="preserve">(5년 기준, 메인프레임 유지 대비)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신규 서비스 출시 리드타임 75% 단축</w:t>
      </w:r>
      <w:r>
        <w:t xml:space="preserve"> </w:t>
      </w:r>
      <w:r>
        <w:t xml:space="preserve">(12주 → 3주)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시스템 가용성 99.99%</w:t>
      </w:r>
      <w:r>
        <w:t xml:space="preserve"> </w:t>
      </w:r>
      <w:r>
        <w:t xml:space="preserve">유지 (현재 99.97%)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데이터 분석/AI 적용 가능성 확보</w:t>
      </w:r>
      <w:r>
        <w:t xml:space="preserve"> </w:t>
      </w:r>
      <w:r>
        <w:t xml:space="preserve">(실시간 이벤트 스트림 기반)</w:t>
      </w:r>
    </w:p>
    <w:p>
      <w:pPr>
        <w:pStyle w:val="Heading3"/>
      </w:pPr>
      <w:bookmarkStart w:id="60" w:name="기대효과"/>
      <w:r>
        <w:t xml:space="preserve">1-3. 기대효과</w:t>
      </w:r>
      <w:bookmarkEnd w:id="60"/>
    </w:p>
    <w:p>
      <w:pPr>
        <w:pStyle w:val="FirstParagraph"/>
      </w:pPr>
      <w:r>
        <w:t xml:space="preserve">신규 채널(오픈뱅킹·마이데이터) 통합 비용 60% 절감, 야간 배치 윈도우 단축(현 6시간 → 2시간), 신규 디지털 상품 출시 가속, 클라우드 네이티브 인재 채용 경쟁력 회복.</w:t>
      </w:r>
    </w:p>
    <w:p>
      <w:pPr>
        <w:pStyle w:val="Heading3"/>
      </w:pPr>
      <w:bookmarkStart w:id="61" w:name="투자-규모"/>
      <w:r>
        <w:t xml:space="preserve">1-4. 투자 규모</w:t>
      </w:r>
      <w:bookmarkEnd w:id="61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총 투자</w:t>
      </w:r>
      <w:r>
        <w:t xml:space="preserve">: 18개월간 약</w:t>
      </w:r>
      <w:r>
        <w:t xml:space="preserve"> </w:t>
      </w:r>
      <w:r>
        <w:rPr>
          <w:b/>
        </w:rPr>
        <w:t xml:space="preserve">240억 원</w:t>
      </w:r>
      <w:r>
        <w:t xml:space="preserve"> </w:t>
      </w:r>
      <w:r>
        <w:t xml:space="preserve">(Phase 1: 75억 / Phase 2: 95억 / Phase 3: 70억)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인건비 65%, 라이선스·인프라 20%, 외부 컨설팅 10%, 교육 5%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5년 누적 절감</w:t>
      </w:r>
      <w:r>
        <w:t xml:space="preserve">: 약</w:t>
      </w:r>
      <w:r>
        <w:t xml:space="preserve"> </w:t>
      </w:r>
      <w:r>
        <w:rPr>
          <w:b/>
        </w:rPr>
        <w:t xml:space="preserve">610억 원</w:t>
      </w:r>
      <w:r>
        <w:t xml:space="preserve"> </w:t>
      </w:r>
      <w:r>
        <w:t xml:space="preserve">(메인프레임 유지 시 대비)</w:t>
      </w:r>
    </w:p>
    <w:p>
      <w:pPr>
        <w:pStyle w:val="Heading3"/>
      </w:pPr>
      <w:bookmarkStart w:id="62" w:name="핵심-의사결정-포인트"/>
      <w:r>
        <w:t xml:space="preserve">1-5. 핵심 의사결정 포인트</w:t>
      </w:r>
      <w:bookmarkEnd w:id="62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CIO/CTO 승인</w:t>
      </w:r>
      <w:r>
        <w:t xml:space="preserve"> </w:t>
      </w:r>
      <w:r>
        <w:t xml:space="preserve">— 18개월 동안 듀얼 런(레거시 + 신규) 운영비 부담을 감수할 의지.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금감원 사전 협의</w:t>
      </w:r>
      <w:r>
        <w:t xml:space="preserve"> </w:t>
      </w:r>
      <w:r>
        <w:t xml:space="preserve">— 전자금융감독규정 8조(시스템 변경) 및 클라우드 가이드라인 준수.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인력 구조조정 정책 결정</w:t>
      </w:r>
      <w:r>
        <w:t xml:space="preserve"> </w:t>
      </w:r>
      <w:r>
        <w:t xml:space="preserve">— COBOL 인력 재교육 vs 자연 감소 vs 전환 배치 비율.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벤더 락인 정책</w:t>
      </w:r>
      <w:r>
        <w:t xml:space="preserve"> </w:t>
      </w:r>
      <w:r>
        <w:t xml:space="preserve">— AWS 단일 vs 멀티클라우드 옵션.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as-is-vs-to-be-아키텍처-비교"/>
      <w:r>
        <w:t xml:space="preserve">2. AS-IS vs TO-BE 아키텍처 비교</w:t>
      </w:r>
      <w:bookmarkEnd w:id="6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AS-IS (메인프레임)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TO-BE (AWS 클라우드 네이티브)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컴퓨팅</w:t>
            </w:r>
          </w:p>
        </w:tc>
        <w:tc>
          <w:p>
            <w:pPr>
              <w:pStyle w:val="Compact"/>
              <w:jc w:val="left"/>
            </w:pPr>
            <w:r>
              <w:t xml:space="preserve">IBM z16, COBOL/PL/I, CICS, JCL Batch</w:t>
            </w:r>
          </w:p>
        </w:tc>
        <w:tc>
          <w:p>
            <w:pPr>
              <w:pStyle w:val="Compact"/>
              <w:jc w:val="left"/>
            </w:pPr>
            <w:r>
              <w:t xml:space="preserve">AWS EKS 1.30, Spring Boot 3.x (Java 21), Argo Workflows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데이터베이스</w:t>
            </w:r>
          </w:p>
        </w:tc>
        <w:tc>
          <w:p>
            <w:pPr>
              <w:pStyle w:val="Compact"/>
              <w:jc w:val="left"/>
            </w:pPr>
            <w:r>
              <w:t xml:space="preserve">DB2 z/OS, IMS-DB, VSAM</w:t>
            </w:r>
          </w:p>
        </w:tc>
        <w:tc>
          <w:p>
            <w:pPr>
              <w:pStyle w:val="Compact"/>
              <w:jc w:val="left"/>
            </w:pPr>
            <w:r>
              <w:t xml:space="preserve">Aurora PostgreSQL 16 (OLTP), DynamoDB (계층형), S3 + Iceberg (로그)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메시징</w:t>
            </w:r>
          </w:p>
        </w:tc>
        <w:tc>
          <w:p>
            <w:pPr>
              <w:pStyle w:val="Compact"/>
              <w:jc w:val="left"/>
            </w:pPr>
            <w:r>
              <w:t xml:space="preserve">MQ Series, FEP 고정전문</w:t>
            </w:r>
          </w:p>
        </w:tc>
        <w:tc>
          <w:p>
            <w:pPr>
              <w:pStyle w:val="Compact"/>
              <w:jc w:val="left"/>
            </w:pPr>
            <w:r>
              <w:t xml:space="preserve">Amazon MSK (Kafka 3.7), AWS API Gateway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 환경</w:t>
            </w:r>
          </w:p>
        </w:tc>
        <w:tc>
          <w:p>
            <w:pPr>
              <w:pStyle w:val="Compact"/>
              <w:jc w:val="left"/>
            </w:pPr>
            <w:r>
              <w:t xml:space="preserve">RD/z, ChangeMan, 폐쇄망</w:t>
            </w:r>
          </w:p>
        </w:tc>
        <w:tc>
          <w:p>
            <w:pPr>
              <w:pStyle w:val="Compact"/>
              <w:jc w:val="left"/>
            </w:pPr>
            <w:r>
              <w:t xml:space="preserve">GitHub Enterprise, Backstage IDP, Codespaces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수동 빌드 + 변경관리 워크플로우(평균 6주)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+ Helm + Argo CD (평균 3일)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관측성</w:t>
            </w:r>
          </w:p>
        </w:tc>
        <w:tc>
          <w:p>
            <w:pPr>
              <w:pStyle w:val="Compact"/>
              <w:jc w:val="left"/>
            </w:pPr>
            <w:r>
              <w:t xml:space="preserve">RMF, OMEGAMON</w:t>
            </w:r>
          </w:p>
        </w:tc>
        <w:tc>
          <w:p>
            <w:pPr>
              <w:pStyle w:val="Compact"/>
              <w:jc w:val="left"/>
            </w:pPr>
            <w:r>
              <w:t xml:space="preserve">OpenTelemetry → Amazon Managed Prometheus/Grafana, CloudWatch, Loki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보안</w:t>
            </w:r>
          </w:p>
        </w:tc>
        <w:tc>
          <w:p>
            <w:pPr>
              <w:pStyle w:val="Compact"/>
              <w:jc w:val="left"/>
            </w:pPr>
            <w:r>
              <w:t xml:space="preserve">RACF, 메인프레임 SAF</w:t>
            </w:r>
          </w:p>
        </w:tc>
        <w:tc>
          <w:p>
            <w:pPr>
              <w:pStyle w:val="Compact"/>
              <w:jc w:val="left"/>
            </w:pPr>
            <w:r>
              <w:t xml:space="preserve">IAM IRSA, AWS WAF, Vault, OPA Gatekeeper, KMS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배포 단위</w:t>
            </w:r>
          </w:p>
        </w:tc>
        <w:tc>
          <w:p>
            <w:pPr>
              <w:pStyle w:val="Compact"/>
              <w:jc w:val="left"/>
            </w:pPr>
            <w:r>
              <w:t xml:space="preserve">Region-단위 LPAR, 전체 재기동</w:t>
            </w:r>
          </w:p>
        </w:tc>
        <w:tc>
          <w:p>
            <w:pPr>
              <w:pStyle w:val="Compact"/>
              <w:jc w:val="left"/>
            </w:pPr>
            <w:r>
              <w:t xml:space="preserve">Pod 단위 Rolling, Canary, BlueGreen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장애 복구(RTO/RPO)</w:t>
            </w:r>
          </w:p>
        </w:tc>
        <w:tc>
          <w:p>
            <w:pPr>
              <w:pStyle w:val="Compact"/>
              <w:jc w:val="left"/>
            </w:pPr>
            <w:r>
              <w:t xml:space="preserve">RTO 2h / RPO 5m (DR 사이트 수동 절체)</w:t>
            </w:r>
          </w:p>
        </w:tc>
        <w:tc>
          <w:p>
            <w:pPr>
              <w:pStyle w:val="Compact"/>
              <w:jc w:val="left"/>
            </w:pPr>
            <w:r>
              <w:t xml:space="preserve">RTO 15m / RPO 30s (Multi-AZ + Cross-Region)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확장성</w:t>
            </w:r>
          </w:p>
        </w:tc>
        <w:tc>
          <w:p>
            <w:pPr>
              <w:pStyle w:val="Compact"/>
              <w:jc w:val="left"/>
            </w:pPr>
            <w:r>
              <w:t xml:space="preserve">수직 확장 중심, 자원 사전 예약</w:t>
            </w:r>
          </w:p>
        </w:tc>
        <w:tc>
          <w:p>
            <w:pPr>
              <w:pStyle w:val="Compact"/>
              <w:jc w:val="left"/>
            </w:pPr>
            <w:r>
              <w:t xml:space="preserve">HPA/Karpenter 기반 자동 수평 확장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인력 모델</w:t>
            </w:r>
          </w:p>
        </w:tc>
        <w:tc>
          <w:p>
            <w:pPr>
              <w:pStyle w:val="Compact"/>
              <w:jc w:val="left"/>
            </w:pPr>
            <w:r>
              <w:t xml:space="preserve">시스템 프로그래머·DBA·운영 분리</w:t>
            </w:r>
          </w:p>
        </w:tc>
        <w:tc>
          <w:p>
            <w:pPr>
              <w:pStyle w:val="Compact"/>
              <w:jc w:val="left"/>
            </w:pPr>
            <w:r>
              <w:t xml:space="preserve">DevSecOps Squad, SRE 4-on-call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 운영비(추정)</w:t>
            </w:r>
          </w:p>
        </w:tc>
        <w:tc>
          <w:p>
            <w:pPr>
              <w:pStyle w:val="Compact"/>
              <w:jc w:val="left"/>
            </w:pPr>
            <w:r>
              <w:t xml:space="preserve">약 220억 원</w:t>
            </w:r>
          </w:p>
        </w:tc>
        <w:tc>
          <w:p>
            <w:pPr>
              <w:pStyle w:val="Compact"/>
              <w:jc w:val="left"/>
            </w:pPr>
            <w:r>
              <w:t xml:space="preserve">약 145억 원 (5년차 안정화 기준)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단계-로드맵-18개월"/>
      <w:r>
        <w:t xml:space="preserve">3. 3단계 로드맵 (18개월)</w:t>
      </w:r>
      <w:bookmarkEnd w:id="64"/>
    </w:p>
    <w:p>
      <w:pPr>
        <w:pStyle w:val="Heading3"/>
      </w:pPr>
      <w:bookmarkStart w:id="65" w:name="phase-1-기반-구축-m1m6"/>
      <w:r>
        <w:t xml:space="preserve">Phase 1 — 기반 구축 (M1~M6)</w:t>
      </w:r>
      <w:bookmarkEnd w:id="65"/>
    </w:p>
    <w:p>
      <w:pPr>
        <w:pStyle w:val="FirstParagraph"/>
      </w:pPr>
      <w:r>
        <w:rPr>
          <w:b/>
        </w:rPr>
        <w:t xml:space="preserve">목표</w:t>
      </w:r>
      <w:r>
        <w:t xml:space="preserve">: 클라우드 플랫폼·CI/CD·관측성·CDC 파이프라인 완비, 1개 비핵심 서비스 시범 전환.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마일스톤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인력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M1: 거버넌스 수립</w:t>
            </w:r>
          </w:p>
        </w:tc>
        <w:tc>
          <w:p>
            <w:pPr>
              <w:pStyle w:val="Compact"/>
              <w:jc w:val="left"/>
            </w:pPr>
            <w:r>
              <w:t xml:space="preserve">클라우드 거버넌스 위원회, 금감원 사전협의서</w:t>
            </w:r>
          </w:p>
        </w:tc>
        <w:tc>
          <w:p>
            <w:pPr>
              <w:pStyle w:val="Compact"/>
              <w:jc w:val="left"/>
            </w:pPr>
            <w:r>
              <w:t xml:space="preserve">PMO 4 + 컴플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M2: 랜딩존 구축</w:t>
            </w:r>
          </w:p>
        </w:tc>
        <w:tc>
          <w:p>
            <w:pPr>
              <w:pStyle w:val="Compact"/>
              <w:jc w:val="left"/>
            </w:pPr>
            <w:r>
              <w:t xml:space="preserve">AWS Control Tower, VPC, IAM, KMS, MSK 베이스</w:t>
            </w:r>
          </w:p>
        </w:tc>
        <w:tc>
          <w:p>
            <w:pPr>
              <w:pStyle w:val="Compact"/>
              <w:jc w:val="left"/>
            </w:pPr>
            <w:r>
              <w:t xml:space="preserve">인프라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M3: 플랫폼 엔지니어링</w:t>
            </w:r>
          </w:p>
        </w:tc>
        <w:tc>
          <w:p>
            <w:pPr>
              <w:pStyle w:val="Compact"/>
              <w:jc w:val="left"/>
            </w:pPr>
            <w:r>
              <w:t xml:space="preserve">EKS 1.30, Backstage IDP, Argo CD, OPA, Vault</w:t>
            </w:r>
          </w:p>
        </w:tc>
        <w:tc>
          <w:p>
            <w:pPr>
              <w:pStyle w:val="Compact"/>
              <w:jc w:val="left"/>
            </w:pPr>
            <w:r>
              <w:t xml:space="preserve">플랫폼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M4: 데이터 파이프라인</w:t>
            </w:r>
          </w:p>
        </w:tc>
        <w:tc>
          <w:p>
            <w:pPr>
              <w:pStyle w:val="Compact"/>
              <w:jc w:val="left"/>
            </w:pPr>
            <w:r>
              <w:t xml:space="preserve">IIDR/Debezium → MSK, EBCDIC→UTF-8 변환 라이브러리</w:t>
            </w:r>
          </w:p>
        </w:tc>
        <w:tc>
          <w:p>
            <w:pPr>
              <w:pStyle w:val="Compact"/>
              <w:jc w:val="left"/>
            </w:pPr>
            <w:r>
              <w:t xml:space="preserve">데이터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M5: 시범 서비스 전환</w:t>
            </w:r>
          </w:p>
        </w:tc>
        <w:tc>
          <w:p>
            <w:pPr>
              <w:pStyle w:val="Compact"/>
              <w:jc w:val="left"/>
            </w:pPr>
            <w:r>
              <w:t xml:space="preserve">고객정보 조회(CST1) Strangler 배포, Shadow 운영</w:t>
            </w:r>
          </w:p>
        </w:tc>
        <w:tc>
          <w:p>
            <w:pPr>
              <w:pStyle w:val="Compact"/>
              <w:jc w:val="left"/>
            </w:pPr>
            <w:r>
              <w:t xml:space="preserve">앱 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M6: 운영 모델 전환</w:t>
            </w:r>
          </w:p>
        </w:tc>
        <w:tc>
          <w:p>
            <w:pPr>
              <w:pStyle w:val="Compact"/>
              <w:jc w:val="left"/>
            </w:pPr>
            <w:r>
              <w:t xml:space="preserve">SRE 온콜, 장애 RCA 프로세스, 카오스 엔지니어링</w:t>
            </w:r>
          </w:p>
        </w:tc>
        <w:tc>
          <w:p>
            <w:pPr>
              <w:pStyle w:val="Compact"/>
              <w:jc w:val="left"/>
            </w:pPr>
            <w:r>
              <w:t xml:space="preserve">SRE 5</w:t>
            </w:r>
          </w:p>
        </w:tc>
      </w:tr>
    </w:tbl>
    <w:p>
      <w:pPr>
        <w:pStyle w:val="BodyText"/>
      </w:pPr>
      <w:r>
        <w:t xml:space="preserve">투입 인력:</w:t>
      </w:r>
      <w:r>
        <w:t xml:space="preserve"> </w:t>
      </w:r>
      <w:r>
        <w:rPr>
          <w:b/>
        </w:rPr>
        <w:t xml:space="preserve">약 65명/월</w:t>
      </w:r>
      <w:r>
        <w:t xml:space="preserve">, 예산:</w:t>
      </w:r>
      <w:r>
        <w:t xml:space="preserve"> </w:t>
      </w:r>
      <w:r>
        <w:rPr>
          <w:b/>
        </w:rPr>
        <w:t xml:space="preserve">75억 원</w:t>
      </w:r>
      <w:r>
        <w:t xml:space="preserve">.</w:t>
      </w:r>
    </w:p>
    <w:p>
      <w:pPr>
        <w:pStyle w:val="Heading3"/>
      </w:pPr>
      <w:bookmarkStart w:id="66" w:name="phase-2-점진-전환-m7m12"/>
      <w:r>
        <w:t xml:space="preserve">Phase 2 — 점진 전환 (M7~M12)</w:t>
      </w:r>
      <w:bookmarkEnd w:id="66"/>
    </w:p>
    <w:p>
      <w:pPr>
        <w:pStyle w:val="FirstParagraph"/>
      </w:pPr>
      <w:r>
        <w:rPr>
          <w:b/>
        </w:rPr>
        <w:t xml:space="preserve">목표</w:t>
      </w:r>
      <w:r>
        <w:t xml:space="preserve">: 핵심 트랜잭션 4종(BAL1·TRF1·LON1·CST1) 100% 전환, 대량 배치 30% 전환, 야간 윈도우 4시간 → 3시간.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마일스톤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인력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M7: 잔액조회(BAL1) 전환</w:t>
            </w:r>
          </w:p>
        </w:tc>
        <w:tc>
          <w:p>
            <w:pPr>
              <w:pStyle w:val="Compact"/>
              <w:jc w:val="left"/>
            </w:pPr>
            <w:r>
              <w:t xml:space="preserve">Spring Boot 마이크로서비스, Canary 25%</w:t>
            </w:r>
          </w:p>
        </w:tc>
        <w:tc>
          <w:p>
            <w:pPr>
              <w:pStyle w:val="Compact"/>
              <w:jc w:val="left"/>
            </w:pPr>
            <w:r>
              <w:t xml:space="preserve">앱 12 + DBA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M8: 이체(TRF1) 전환</w:t>
            </w:r>
          </w:p>
        </w:tc>
        <w:tc>
          <w:p>
            <w:pPr>
              <w:pStyle w:val="Compact"/>
              <w:jc w:val="left"/>
            </w:pPr>
            <w:r>
              <w:t xml:space="preserve">2PC 대체 Saga 패턴, Idempotency Key</w:t>
            </w:r>
          </w:p>
        </w:tc>
        <w:tc>
          <w:p>
            <w:pPr>
              <w:pStyle w:val="Compact"/>
              <w:jc w:val="left"/>
            </w:pPr>
            <w:r>
              <w:t xml:space="preserve">앱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M9: 대출승인(LON1) 전환</w:t>
            </w:r>
          </w:p>
        </w:tc>
        <w:tc>
          <w:p>
            <w:pPr>
              <w:pStyle w:val="Compact"/>
              <w:jc w:val="left"/>
            </w:pPr>
            <w:r>
              <w:t xml:space="preserve">신용평가 모듈 + 룰엔진(Drools)</w:t>
            </w:r>
          </w:p>
        </w:tc>
        <w:tc>
          <w:p>
            <w:pPr>
              <w:pStyle w:val="Compact"/>
              <w:jc w:val="left"/>
            </w:pPr>
            <w:r>
              <w:t xml:space="preserve">앱 14 + DA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M10: 배치 1차 전환</w:t>
            </w:r>
          </w:p>
        </w:tc>
        <w:tc>
          <w:p>
            <w:pPr>
              <w:pStyle w:val="Compact"/>
              <w:jc w:val="left"/>
            </w:pPr>
            <w:r>
              <w:t xml:space="preserve">Spring Batch + Argo Workflows, 일마감 EOD 일부</w:t>
            </w:r>
          </w:p>
        </w:tc>
        <w:tc>
          <w:p>
            <w:pPr>
              <w:pStyle w:val="Compact"/>
              <w:jc w:val="left"/>
            </w:pPr>
            <w:r>
              <w:t xml:space="preserve">배치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M11: 데이터 동기화 안정화</w:t>
            </w:r>
          </w:p>
        </w:tc>
        <w:tc>
          <w:p>
            <w:pPr>
              <w:pStyle w:val="Compact"/>
              <w:jc w:val="left"/>
            </w:pPr>
            <w:r>
              <w:t xml:space="preserve">양방향 CDC, DLQ 모니터링, 데이터 검증 자동화</w:t>
            </w:r>
          </w:p>
        </w:tc>
        <w:tc>
          <w:p>
            <w:pPr>
              <w:pStyle w:val="Compact"/>
              <w:jc w:val="left"/>
            </w:pPr>
            <w:r>
              <w:t xml:space="preserve">데이터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M12: 컴플라이언스 점검</w:t>
            </w:r>
          </w:p>
        </w:tc>
        <w:tc>
          <w:p>
            <w:pPr>
              <w:pStyle w:val="Compact"/>
              <w:jc w:val="left"/>
            </w:pPr>
            <w:r>
              <w:t xml:space="preserve">금감원 보고, 중간 외부감사, 보안 모의해킹</w:t>
            </w:r>
          </w:p>
        </w:tc>
        <w:tc>
          <w:p>
            <w:pPr>
              <w:pStyle w:val="Compact"/>
              <w:jc w:val="left"/>
            </w:pPr>
            <w:r>
              <w:t xml:space="preserve">컴플 4 + 보안 6</w:t>
            </w:r>
          </w:p>
        </w:tc>
      </w:tr>
    </w:tbl>
    <w:p>
      <w:pPr>
        <w:pStyle w:val="BodyText"/>
      </w:pPr>
      <w:r>
        <w:t xml:space="preserve">투입 인력:</w:t>
      </w:r>
      <w:r>
        <w:t xml:space="preserve"> </w:t>
      </w:r>
      <w:r>
        <w:rPr>
          <w:b/>
        </w:rPr>
        <w:t xml:space="preserve">약 80명/월</w:t>
      </w:r>
      <w:r>
        <w:t xml:space="preserve">, 예산:</w:t>
      </w:r>
      <w:r>
        <w:t xml:space="preserve"> </w:t>
      </w:r>
      <w:r>
        <w:rPr>
          <w:b/>
        </w:rPr>
        <w:t xml:space="preserve">95억 원</w:t>
      </w:r>
      <w:r>
        <w:t xml:space="preserve">.</w:t>
      </w:r>
    </w:p>
    <w:p>
      <w:pPr>
        <w:pStyle w:val="Heading3"/>
      </w:pPr>
      <w:bookmarkStart w:id="67" w:name="phase-3-완전-전환-및-메인프레임-폐기-m13m18"/>
      <w:r>
        <w:t xml:space="preserve">Phase 3 — 완전 전환 및 메인프레임 폐기 (M13~M18)</w:t>
      </w:r>
      <w:bookmarkEnd w:id="67"/>
    </w:p>
    <w:p>
      <w:pPr>
        <w:pStyle w:val="FirstParagraph"/>
      </w:pPr>
      <w:r>
        <w:rPr>
          <w:b/>
        </w:rPr>
        <w:t xml:space="preserve">목표</w:t>
      </w:r>
      <w:r>
        <w:t xml:space="preserve">: 모든 온라인·배치 100% 전환, 메인프레임 Read-Only 12주 운영 후 폐기, 인력 재배치 완료.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마일스톤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인력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M13: 잔존 배치·리포트 전환</w:t>
            </w:r>
          </w:p>
        </w:tc>
        <w:tc>
          <w:p>
            <w:pPr>
              <w:pStyle w:val="Compact"/>
              <w:jc w:val="left"/>
            </w:pPr>
            <w:r>
              <w:t xml:space="preserve">EOD/EOM 100%, 호스트 리포트 → PDF/Web</w:t>
            </w:r>
          </w:p>
        </w:tc>
        <w:tc>
          <w:p>
            <w:pPr>
              <w:pStyle w:val="Compact"/>
              <w:jc w:val="left"/>
            </w:pPr>
            <w:r>
              <w:t xml:space="preserve">배치 8 + 앱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M14: 대외기관 전문 전환</w:t>
            </w:r>
          </w:p>
        </w:tc>
        <w:tc>
          <w:p>
            <w:pPr>
              <w:pStyle w:val="Compact"/>
              <w:jc w:val="left"/>
            </w:pPr>
            <w:r>
              <w:t xml:space="preserve">FEP → API Gateway + EAI, 표준전문 변환</w:t>
            </w:r>
          </w:p>
        </w:tc>
        <w:tc>
          <w:p>
            <w:pPr>
              <w:pStyle w:val="Compact"/>
              <w:jc w:val="left"/>
            </w:pPr>
            <w:r>
              <w:t xml:space="preserve">앱 6 + 대외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M15: 데이터 마이그레이션 컷오버</w:t>
            </w:r>
          </w:p>
        </w:tc>
        <w:tc>
          <w:p>
            <w:pPr>
              <w:pStyle w:val="Compact"/>
              <w:jc w:val="left"/>
            </w:pPr>
            <w:r>
              <w:t xml:space="preserve">Big Bang Cutover Window 36h, Rollback 시나리오 검증</w:t>
            </w:r>
          </w:p>
        </w:tc>
        <w:tc>
          <w:p>
            <w:pPr>
              <w:pStyle w:val="Compact"/>
              <w:jc w:val="left"/>
            </w:pPr>
            <w:r>
              <w:t xml:space="preserve">전사 통합팀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M16: Read-Only 운영기</w:t>
            </w:r>
          </w:p>
        </w:tc>
        <w:tc>
          <w:p>
            <w:pPr>
              <w:pStyle w:val="Compact"/>
              <w:jc w:val="left"/>
            </w:pPr>
            <w:r>
              <w:t xml:space="preserve">메인프레임 12주 RO 모드, 거래 차이 모니터링</w:t>
            </w:r>
          </w:p>
        </w:tc>
        <w:tc>
          <w:p>
            <w:pPr>
              <w:pStyle w:val="Compact"/>
              <w:jc w:val="left"/>
            </w:pPr>
            <w:r>
              <w:t xml:space="preserve">운영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M17: 메인프레임 폐기</w:t>
            </w:r>
          </w:p>
        </w:tc>
        <w:tc>
          <w:p>
            <w:pPr>
              <w:pStyle w:val="Compact"/>
              <w:jc w:val="left"/>
            </w:pPr>
            <w:r>
              <w:t xml:space="preserve">LPAR 종료, 라이선스 해지, Hardware 회수</w:t>
            </w:r>
          </w:p>
        </w:tc>
        <w:tc>
          <w:p>
            <w:pPr>
              <w:pStyle w:val="Compact"/>
              <w:jc w:val="left"/>
            </w:pPr>
            <w:r>
              <w:t xml:space="preserve">인프라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M18: 안정화·인수인계</w:t>
            </w:r>
          </w:p>
        </w:tc>
        <w:tc>
          <w:p>
            <w:pPr>
              <w:pStyle w:val="Compact"/>
              <w:jc w:val="left"/>
            </w:pPr>
            <w:r>
              <w:t xml:space="preserve">운영 인수인계, 운영 매뉴얼 v2.0, 회고</w:t>
            </w:r>
          </w:p>
        </w:tc>
        <w:tc>
          <w:p>
            <w:pPr>
              <w:pStyle w:val="Compact"/>
              <w:jc w:val="left"/>
            </w:pPr>
            <w:r>
              <w:t xml:space="preserve">PMO 4 + SRE 6</w:t>
            </w:r>
          </w:p>
        </w:tc>
      </w:tr>
    </w:tbl>
    <w:p>
      <w:pPr>
        <w:pStyle w:val="BodyText"/>
      </w:pPr>
      <w:r>
        <w:t xml:space="preserve">투입 인력:</w:t>
      </w:r>
      <w:r>
        <w:t xml:space="preserve"> </w:t>
      </w:r>
      <w:r>
        <w:rPr>
          <w:b/>
        </w:rPr>
        <w:t xml:space="preserve">약 70명/월</w:t>
      </w:r>
      <w:r>
        <w:t xml:space="preserve">, 예산:</w:t>
      </w:r>
      <w:r>
        <w:t xml:space="preserve"> </w:t>
      </w:r>
      <w:r>
        <w:rPr>
          <w:b/>
        </w:rPr>
        <w:t xml:space="preserve">70억 원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리스크-매트릭스-55"/>
      <w:r>
        <w:t xml:space="preserve">4. 리스크 매트릭스 (5×5)</w:t>
      </w:r>
      <w:bookmarkEnd w:id="68"/>
    </w:p>
    <w:p>
      <w:pPr>
        <w:pStyle w:val="FirstParagraph"/>
      </w:pPr>
      <w:r>
        <w:t xml:space="preserve">확률(P) × 영향도(I) —</w:t>
      </w:r>
      <w:r>
        <w:t xml:space="preserve"> </w:t>
      </w:r>
      <w:r>
        <w:rPr>
          <w:b/>
        </w:rPr>
        <w:t xml:space="preserve">빨강 ≥15, 주황 8~14, 노랑 4~7, 녹색 ≤3</w:t>
      </w:r>
      <w:r>
        <w:t xml:space="preserve">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P×I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완화 방안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R01</w:t>
            </w:r>
          </w:p>
        </w:tc>
        <w:tc>
          <w:p>
            <w:pPr>
              <w:pStyle w:val="Compact"/>
              <w:jc w:val="left"/>
            </w:pPr>
            <w:r>
              <w:t xml:space="preserve">COMP-3 → BigDecimal 변환 오차로 잔액 불일치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빨강</w:t>
            </w:r>
          </w:p>
        </w:tc>
        <w:tc>
          <w:p>
            <w:pPr>
              <w:pStyle w:val="Compact"/>
              <w:jc w:val="left"/>
            </w:pPr>
            <w:r>
              <w:t xml:space="preserve">변환 라이브러리 자동 회귀 테스트, 일자별 합계 대사(reconciliation) 자동화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R02</w:t>
            </w:r>
          </w:p>
        </w:tc>
        <w:tc>
          <w:p>
            <w:pPr>
              <w:pStyle w:val="Compact"/>
              <w:jc w:val="left"/>
            </w:pPr>
            <w:r>
              <w:t xml:space="preserve">컷오버 36h 윈도우 내 데이터 마이그레이션 실패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빨강</w:t>
            </w:r>
          </w:p>
        </w:tc>
        <w:tc>
          <w:p>
            <w:pPr>
              <w:pStyle w:val="Compact"/>
              <w:jc w:val="left"/>
            </w:pPr>
            <w:r>
              <w:t xml:space="preserve">모의 컷오버 3회, Rollback 스크립트, Read-Only 단계 운영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R03</w:t>
            </w:r>
          </w:p>
        </w:tc>
        <w:tc>
          <w:p>
            <w:pPr>
              <w:pStyle w:val="Compact"/>
              <w:jc w:val="left"/>
            </w:pPr>
            <w:r>
              <w:t xml:space="preserve">금감원 컴플라이언스 지연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빨강</w:t>
            </w:r>
          </w:p>
        </w:tc>
        <w:tc>
          <w:p>
            <w:pPr>
              <w:pStyle w:val="Compact"/>
              <w:jc w:val="left"/>
            </w:pPr>
            <w:r>
              <w:t xml:space="preserve">사전협의 M1 착수, 외부 법무 자문 상시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R04</w:t>
            </w:r>
          </w:p>
        </w:tc>
        <w:tc>
          <w:p>
            <w:pPr>
              <w:pStyle w:val="Compact"/>
              <w:jc w:val="left"/>
            </w:pPr>
            <w:r>
              <w:t xml:space="preserve">핵심 COBOL 인력 이탈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빨강</w:t>
            </w:r>
          </w:p>
        </w:tc>
        <w:tc>
          <w:p>
            <w:pPr>
              <w:pStyle w:val="Compact"/>
              <w:jc w:val="left"/>
            </w:pPr>
            <w:r>
              <w:t xml:space="preserve">핵심 인력 리텐션 보너스, 업무 매뉴얼 디지털화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R05</w:t>
            </w:r>
          </w:p>
        </w:tc>
        <w:tc>
          <w:p>
            <w:pPr>
              <w:pStyle w:val="Compact"/>
              <w:jc w:val="left"/>
            </w:pPr>
            <w:r>
              <w:t xml:space="preserve">IMS-DB 계층형 → 관계형 전환 시 성능 저하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주황</w:t>
            </w:r>
          </w:p>
        </w:tc>
        <w:tc>
          <w:p>
            <w:pPr>
              <w:pStyle w:val="Compact"/>
              <w:jc w:val="left"/>
            </w:pPr>
            <w:r>
              <w:t xml:space="preserve">DynamoDB 채택, Aurora 인덱싱·파티셔닝, Load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R06</w:t>
            </w:r>
          </w:p>
        </w:tc>
        <w:tc>
          <w:p>
            <w:pPr>
              <w:pStyle w:val="Compact"/>
              <w:jc w:val="left"/>
            </w:pPr>
            <w:r>
              <w:t xml:space="preserve">대외 전문(EBCDIC) 인코딩 불일치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주황</w:t>
            </w:r>
          </w:p>
        </w:tc>
        <w:tc>
          <w:p>
            <w:pPr>
              <w:pStyle w:val="Compact"/>
              <w:jc w:val="left"/>
            </w:pPr>
            <w:r>
              <w:t xml:space="preserve">전문 매핑 사전(辭典) 자동화, 30일 병행 운영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R07</w:t>
            </w:r>
          </w:p>
        </w:tc>
        <w:tc>
          <w:p>
            <w:pPr>
              <w:pStyle w:val="Compact"/>
              <w:jc w:val="left"/>
            </w:pPr>
            <w:r>
              <w:t xml:space="preserve">클라우드 비용 통제 실패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주황</w:t>
            </w:r>
          </w:p>
        </w:tc>
        <w:tc>
          <w:p>
            <w:pPr>
              <w:pStyle w:val="Compact"/>
              <w:jc w:val="left"/>
            </w:pPr>
            <w:r>
              <w:t xml:space="preserve">FinOps 팀 신설, Budget Alert, Spot/Savings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R08</w:t>
            </w:r>
          </w:p>
        </w:tc>
        <w:tc>
          <w:p>
            <w:pPr>
              <w:pStyle w:val="Compact"/>
              <w:jc w:val="left"/>
            </w:pPr>
            <w:r>
              <w:t xml:space="preserve">카프카 메시지 순서·중복 처리 결함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주황</w:t>
            </w:r>
          </w:p>
        </w:tc>
        <w:tc>
          <w:p>
            <w:pPr>
              <w:pStyle w:val="Compact"/>
              <w:jc w:val="left"/>
            </w:pPr>
            <w:r>
              <w:t xml:space="preserve">Idempotency Key, 키별 파티셔닝, Outbox 패턴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R09</w:t>
            </w:r>
          </w:p>
        </w:tc>
        <w:tc>
          <w:p>
            <w:pPr>
              <w:pStyle w:val="Compact"/>
              <w:jc w:val="left"/>
            </w:pPr>
            <w:r>
              <w:t xml:space="preserve">DR 사이트 동기화 지연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주황</w:t>
            </w:r>
          </w:p>
        </w:tc>
        <w:tc>
          <w:p>
            <w:pPr>
              <w:pStyle w:val="Compact"/>
              <w:jc w:val="left"/>
            </w:pPr>
            <w:r>
              <w:t xml:space="preserve">Multi-Region Active-Passive, RPO 30s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t xml:space="preserve">운영 인력의 클라우드 숙련도 부족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주황</w:t>
            </w:r>
          </w:p>
        </w:tc>
        <w:tc>
          <w:p>
            <w:pPr>
              <w:pStyle w:val="Compact"/>
              <w:jc w:val="left"/>
            </w:pPr>
            <w:r>
              <w:t xml:space="preserve">6개월 부트캠프, 외부 SRE 파트너십, 카오스 엔지니어링 훈련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p>
            <w:pPr>
              <w:pStyle w:val="Compact"/>
              <w:jc w:val="left"/>
            </w:pPr>
            <w:r>
              <w:t xml:space="preserve">외부 SaaS(MSK, Aurora) 장애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주황</w:t>
            </w:r>
          </w:p>
        </w:tc>
        <w:tc>
          <w:p>
            <w:pPr>
              <w:pStyle w:val="Compact"/>
              <w:jc w:val="left"/>
            </w:pPr>
            <w:r>
              <w:t xml:space="preserve">Multi-AZ, 자체 Standby DB, AWS Enterprise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p>
            <w:pPr>
              <w:pStyle w:val="Compact"/>
              <w:jc w:val="left"/>
            </w:pPr>
            <w:r>
              <w:t xml:space="preserve">보안 사고(Secret 유출, 공급망 공격)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주황</w:t>
            </w:r>
          </w:p>
        </w:tc>
        <w:tc>
          <w:p>
            <w:pPr>
              <w:pStyle w:val="Compact"/>
              <w:jc w:val="left"/>
            </w:pPr>
            <w:r>
              <w:t xml:space="preserve">IRSA + Vault + Trivy + SLSA Level 3, 분기 모의침투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tco-비교-5년-단위-억-원"/>
      <w:r>
        <w:t xml:space="preserve">5. TCO 비교 (5년, 단위: 억 원)</w:t>
      </w:r>
      <w:bookmarkEnd w:id="69"/>
    </w:p>
    <w:p>
      <w:pPr>
        <w:pStyle w:val="Heading3"/>
      </w:pPr>
      <w:bookmarkStart w:id="70" w:name="메인프레임-유지-시나리오"/>
      <w:r>
        <w:t xml:space="preserve">5-1. 메인프레임 유지 시나리오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비용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합계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하드웨어 리스 (z16 LPAR)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right"/>
            </w:pPr>
            <w:r>
              <w:t xml:space="preserve">194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 라이선스(IBM, ISV)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p>
            <w:pPr>
              <w:pStyle w:val="Compact"/>
              <w:jc w:val="right"/>
            </w:pPr>
            <w:r>
              <w:t xml:space="preserve">455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 인력(메인프레임 60명)</w:t>
            </w:r>
          </w:p>
        </w:tc>
        <w:tc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p>
            <w:pPr>
              <w:pStyle w:val="Compact"/>
              <w:jc w:val="right"/>
            </w:pPr>
            <w:r>
              <w:t xml:space="preserve">393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전력·시설·DR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외부 유지보수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220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233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250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269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290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1,262</w:t>
            </w:r>
          </w:p>
        </w:tc>
      </w:tr>
    </w:tbl>
    <w:p>
      <w:pPr>
        <w:pStyle w:val="Heading3"/>
      </w:pPr>
      <w:bookmarkStart w:id="71" w:name="클라우드-전환-시나리오"/>
      <w:r>
        <w:t xml:space="preserve">5-2. 클라우드 전환 시나리오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비용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Y1(전환)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Y2(전환)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Y5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합계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일회성 전환 비용(SI/컨설팅/교육)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인프라 (EKS·RDS·MSK·S3·전송)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p>
            <w:pPr>
              <w:pStyle w:val="Compact"/>
              <w:jc w:val="right"/>
            </w:pPr>
            <w:r>
              <w:t xml:space="preserve">290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SaaS·옵저버빌리티(GitHub·Datadog 등)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 인력(SRE+개발 35명)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294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듀얼 런(메인프레임 잔존)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338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149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148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157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1,059</w:t>
            </w:r>
          </w:p>
        </w:tc>
      </w:tr>
    </w:tbl>
    <w:p>
      <w:pPr>
        <w:pStyle w:val="Heading3"/>
      </w:pPr>
      <w:bookmarkStart w:id="72" w:name="차이-분석"/>
      <w:r>
        <w:t xml:space="preserve">5-3. 차이 분석</w:t>
      </w:r>
      <w:bookmarkEnd w:id="7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5년 누적 절감</w:t>
      </w:r>
      <w:r>
        <w:t xml:space="preserve">: 1,262 − 1,059 =</w:t>
      </w:r>
      <w:r>
        <w:t xml:space="preserve"> </w:t>
      </w:r>
      <w:r>
        <w:rPr>
          <w:b/>
        </w:rPr>
        <w:t xml:space="preserve">약 203억 원</w:t>
      </w:r>
      <w:r>
        <w:t xml:space="preserve">(보수적 추정).</w:t>
      </w:r>
    </w:p>
    <w:p>
      <w:pPr>
        <w:numPr>
          <w:ilvl w:val="0"/>
          <w:numId w:val="1016"/>
        </w:numPr>
        <w:pStyle w:val="Compact"/>
      </w:pPr>
      <w:r>
        <w:t xml:space="preserve">일회성 전환 비용 회수 시점:</w:t>
      </w:r>
      <w:r>
        <w:t xml:space="preserve"> </w:t>
      </w:r>
      <w:r>
        <w:rPr>
          <w:b/>
        </w:rPr>
        <w:t xml:space="preserve">3.4년 차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Y4부터 연 약 121억 원 절감, 신규 서비스 매출 기여(연 60~120억 추정)는 별도.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인력-전환-계획"/>
      <w:r>
        <w:t xml:space="preserve">6. 인력 전환 계획</w:t>
      </w:r>
      <w:bookmarkEnd w:id="73"/>
    </w:p>
    <w:p>
      <w:pPr>
        <w:pStyle w:val="Heading3"/>
      </w:pPr>
      <w:bookmarkStart w:id="74" w:name="대상-인원-현-110명-목표-85명"/>
      <w:r>
        <w:t xml:space="preserve">6-1. 대상 인원 (현 110명 → 목표 85명)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현재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18개월 후 목표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전환 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COBOL/PL/I 개발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25명 Java 재교육, 5명 운영 전환, 3명 자연감소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메인프레임 시스템 프로그래머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6명 SRE 재교육, 2명 자연감소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메인프레임 DBA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4명 PostgreSQL/DynamoDB 전환 교육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운영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8명 Argo/Spring Batch 전환, 2명 자연감소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채용(클라우드 네이티브)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Java/K8s/SRE 외부 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PMO/컴플라이언스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유지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QA/SDET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6명 자동화 테스트 엔지니어 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신규 30 + 재교육 49 + 잔존 6 = 85</w:t>
            </w:r>
          </w:p>
        </w:tc>
      </w:tr>
    </w:tbl>
    <w:p>
      <w:pPr>
        <w:pStyle w:val="Heading3"/>
      </w:pPr>
      <w:bookmarkStart w:id="75" w:name="개월-재교육-커리큘럼"/>
      <w:r>
        <w:t xml:space="preserve">6-2. 6개월 재교육 커리큘럼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시간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인증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Java 21 핵심 (OOP·Stream·Records·Virtual Thread)</w:t>
            </w:r>
          </w:p>
        </w:tc>
        <w:tc>
          <w:p>
            <w:pPr>
              <w:pStyle w:val="Compact"/>
              <w:jc w:val="right"/>
            </w:pPr>
            <w:r>
              <w:t xml:space="preserve">80h</w:t>
            </w:r>
          </w:p>
        </w:tc>
        <w:tc>
          <w:p>
            <w:pPr>
              <w:pStyle w:val="Compact"/>
              <w:jc w:val="left"/>
            </w:pPr>
            <w:r>
              <w:t xml:space="preserve">OCP Java 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Spring Boot 3.x + JPA + Test (Testcontainers)</w:t>
            </w:r>
          </w:p>
        </w:tc>
        <w:tc>
          <w:p>
            <w:pPr>
              <w:pStyle w:val="Compact"/>
              <w:jc w:val="right"/>
            </w:pPr>
            <w:r>
              <w:t xml:space="preserve">80h</w:t>
            </w:r>
          </w:p>
        </w:tc>
        <w:tc>
          <w:p>
            <w:pPr>
              <w:pStyle w:val="Compact"/>
              <w:jc w:val="left"/>
            </w:pPr>
            <w:r>
              <w:t xml:space="preserve">Spring Pro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DevOps 기초 (Git·GitHub Actions·Docker)</w:t>
            </w:r>
          </w:p>
        </w:tc>
        <w:tc>
          <w:p>
            <w:pPr>
              <w:pStyle w:val="Compact"/>
              <w:jc w:val="right"/>
            </w:pPr>
            <w:r>
              <w:t xml:space="preserve">60h</w:t>
            </w:r>
          </w:p>
        </w:tc>
        <w:tc>
          <w:p>
            <w:pPr>
              <w:pStyle w:val="Compact"/>
              <w:jc w:val="left"/>
            </w:pPr>
            <w:r>
              <w:t xml:space="preserve">GitHub Foundations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Kubernetes &amp; Helm</w:t>
            </w:r>
          </w:p>
        </w:tc>
        <w:tc>
          <w:p>
            <w:pPr>
              <w:pStyle w:val="Compact"/>
              <w:jc w:val="right"/>
            </w:pPr>
            <w:r>
              <w:t xml:space="preserve">80h</w:t>
            </w:r>
          </w:p>
        </w:tc>
        <w:tc>
          <w:p>
            <w:pPr>
              <w:pStyle w:val="Compact"/>
              <w:jc w:val="left"/>
            </w:pPr>
            <w:r>
              <w:t xml:space="preserve">CKA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AWS 핵심 (EKS·RDS·IAM·MSK·S3)</w:t>
            </w:r>
          </w:p>
        </w:tc>
        <w:tc>
          <w:p>
            <w:pPr>
              <w:pStyle w:val="Compact"/>
              <w:jc w:val="right"/>
            </w:pPr>
            <w:r>
              <w:t xml:space="preserve">80h</w:t>
            </w:r>
          </w:p>
        </w:tc>
        <w:tc>
          <w:p>
            <w:pPr>
              <w:pStyle w:val="Compact"/>
              <w:jc w:val="left"/>
            </w:pPr>
            <w:r>
              <w:t xml:space="preserve">AWS SAA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사내 Capstone (실제 마이그레이션 모듈 1건)</w:t>
            </w:r>
          </w:p>
        </w:tc>
        <w:tc>
          <w:p>
            <w:pPr>
              <w:pStyle w:val="Compact"/>
              <w:jc w:val="right"/>
            </w:pPr>
            <w:r>
              <w:t xml:space="preserve">100h</w:t>
            </w:r>
          </w:p>
        </w:tc>
        <w:tc>
          <w:p>
            <w:pPr>
              <w:pStyle w:val="Compact"/>
              <w:jc w:val="left"/>
            </w:pPr>
            <w:r>
              <w:t xml:space="preserve">사내 인증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외부 채용 비율: 신규 인력의</w:t>
      </w:r>
      <w:r>
        <w:t xml:space="preserve"> </w:t>
      </w:r>
      <w:r>
        <w:rPr>
          <w:b/>
        </w:rPr>
        <w:t xml:space="preserve">35%</w:t>
      </w:r>
      <w:r>
        <w:t xml:space="preserve"> </w:t>
      </w:r>
      <w:r>
        <w:t xml:space="preserve">(주로 SRE/Platform Engineer).</w:t>
      </w:r>
    </w:p>
    <w:p>
      <w:pPr>
        <w:numPr>
          <w:ilvl w:val="0"/>
          <w:numId w:val="1017"/>
        </w:numPr>
        <w:pStyle w:val="Compact"/>
      </w:pPr>
      <w:r>
        <w:t xml:space="preserve">단계별 역할 변화: COBOL 개발자 → 페어 프로그래밍 보조(Phase 1) → 마이크로서비스 owner(Phase 2) → 도메인 시니어 엔지니어(Phase 3).</w:t>
      </w:r>
    </w:p>
    <w:p>
      <w:pPr>
        <w:numPr>
          <w:ilvl w:val="0"/>
          <w:numId w:val="1017"/>
        </w:numPr>
        <w:pStyle w:val="Compact"/>
      </w:pPr>
      <w:r>
        <w:t xml:space="preserve">리텐션: 핵심 인력 18개월 보너스(연봉의 25%), 자격증 비용·시간 회사 부담.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gono-go-체크리스트"/>
      <w:r>
        <w:t xml:space="preserve">7. Go/No-Go 체크리스트</w:t>
      </w:r>
      <w:bookmarkEnd w:id="76"/>
    </w:p>
    <w:p>
      <w:pPr>
        <w:pStyle w:val="FirstParagraph"/>
      </w:pPr>
      <w:r>
        <w:t xml:space="preserve">각 Phase 종료 시점에 운영위원회가 공식 게이트 결정.</w:t>
      </w:r>
      <w:r>
        <w:t xml:space="preserve"> </w:t>
      </w:r>
      <w:r>
        <w:rPr>
          <w:b/>
        </w:rPr>
        <w:t xml:space="preserve">항목별 5단계 평가(0~4점), 합산 ≥80% 시 Go</w:t>
      </w:r>
      <w:r>
        <w:t xml:space="preserve">.</w:t>
      </w:r>
    </w:p>
    <w:p>
      <w:pPr>
        <w:pStyle w:val="Heading3"/>
      </w:pPr>
      <w:bookmarkStart w:id="77" w:name="기술-technical"/>
      <w:r>
        <w:t xml:space="preserve">7-1. 기술 (Technical)</w:t>
      </w:r>
      <w:bookmarkEnd w:id="77"/>
    </w:p>
    <w:p>
      <w:pPr>
        <w:numPr>
          <w:ilvl w:val="0"/>
          <w:numId w:val="1018"/>
        </w:numPr>
        <w:pStyle w:val="Compact"/>
      </w:pPr>
      <w:r>
        <w:t xml:space="preserve">☐ 단위 테스트 커버리지 ≥80%, 통합 테스트 ≥60%</w:t>
      </w:r>
    </w:p>
    <w:p>
      <w:pPr>
        <w:numPr>
          <w:ilvl w:val="0"/>
          <w:numId w:val="1018"/>
        </w:numPr>
        <w:pStyle w:val="Compact"/>
      </w:pPr>
      <w:r>
        <w:t xml:space="preserve">☐ 부하 테스트 결과: P99 응답 ≤500ms (BAL1), ≤1.5s (TRF1)</w:t>
      </w:r>
    </w:p>
    <w:p>
      <w:pPr>
        <w:numPr>
          <w:ilvl w:val="0"/>
          <w:numId w:val="1018"/>
        </w:numPr>
        <w:pStyle w:val="Compact"/>
      </w:pPr>
      <w:r>
        <w:t xml:space="preserve">☐ 데이터 대사(reconciliation): 일자별 잔액 합계 차이 = 0</w:t>
      </w:r>
    </w:p>
    <w:p>
      <w:pPr>
        <w:numPr>
          <w:ilvl w:val="0"/>
          <w:numId w:val="1018"/>
        </w:numPr>
        <w:pStyle w:val="Compact"/>
      </w:pPr>
      <w:r>
        <w:t xml:space="preserve">☐ DR 시나리오: RTO ≤15m, RPO ≤30s 검증 완료</w:t>
      </w:r>
    </w:p>
    <w:p>
      <w:pPr>
        <w:numPr>
          <w:ilvl w:val="0"/>
          <w:numId w:val="1018"/>
        </w:numPr>
        <w:pStyle w:val="Compact"/>
      </w:pPr>
      <w:r>
        <w:t xml:space="preserve">☐ 모의 컷오버 ≥2회 성공 (Phase 3 한정)</w:t>
      </w:r>
    </w:p>
    <w:p>
      <w:pPr>
        <w:pStyle w:val="Heading3"/>
      </w:pPr>
      <w:bookmarkStart w:id="78" w:name="비즈니스-business"/>
      <w:r>
        <w:t xml:space="preserve">7-2. 비즈니스 (Business)</w:t>
      </w:r>
      <w:bookmarkEnd w:id="78"/>
    </w:p>
    <w:p>
      <w:pPr>
        <w:numPr>
          <w:ilvl w:val="0"/>
          <w:numId w:val="1019"/>
        </w:numPr>
        <w:pStyle w:val="Compact"/>
      </w:pPr>
      <w:r>
        <w:t xml:space="preserve">☐ 단위 서비스의 KPI(거래량·실패율) 정상 범위 유지</w:t>
      </w:r>
    </w:p>
    <w:p>
      <w:pPr>
        <w:numPr>
          <w:ilvl w:val="0"/>
          <w:numId w:val="1019"/>
        </w:numPr>
        <w:pStyle w:val="Compact"/>
      </w:pPr>
      <w:r>
        <w:t xml:space="preserve">☐ 사업 부서(영업·고객지원) 사용성 점검 완료</w:t>
      </w:r>
    </w:p>
    <w:p>
      <w:pPr>
        <w:numPr>
          <w:ilvl w:val="0"/>
          <w:numId w:val="1019"/>
        </w:numPr>
        <w:pStyle w:val="Compact"/>
      </w:pPr>
      <w:r>
        <w:t xml:space="preserve">☐ 신규 채널 통합 일정 영향 없음</w:t>
      </w:r>
    </w:p>
    <w:p>
      <w:pPr>
        <w:numPr>
          <w:ilvl w:val="0"/>
          <w:numId w:val="1019"/>
        </w:numPr>
        <w:pStyle w:val="Compact"/>
      </w:pPr>
      <w:r>
        <w:t xml:space="preserve">☐ 마케팅·고객 커뮤니케이션 완료</w:t>
      </w:r>
    </w:p>
    <w:p>
      <w:pPr>
        <w:pStyle w:val="Heading3"/>
      </w:pPr>
      <w:bookmarkStart w:id="79" w:name="리스크-risk"/>
      <w:r>
        <w:t xml:space="preserve">7-3. 리스크 (Risk)</w:t>
      </w:r>
      <w:bookmarkEnd w:id="79"/>
    </w:p>
    <w:p>
      <w:pPr>
        <w:numPr>
          <w:ilvl w:val="0"/>
          <w:numId w:val="1020"/>
        </w:numPr>
        <w:pStyle w:val="Compact"/>
      </w:pPr>
      <w:r>
        <w:t xml:space="preserve">☐ R01~R12 리스크 모든 High 항목 mitigation 완료</w:t>
      </w:r>
    </w:p>
    <w:p>
      <w:pPr>
        <w:numPr>
          <w:ilvl w:val="0"/>
          <w:numId w:val="1020"/>
        </w:numPr>
        <w:pStyle w:val="Compact"/>
      </w:pPr>
      <w:r>
        <w:t xml:space="preserve">☐ 미해결 P1 결함 0건, P2 결함 ≤5건</w:t>
      </w:r>
    </w:p>
    <w:p>
      <w:pPr>
        <w:numPr>
          <w:ilvl w:val="0"/>
          <w:numId w:val="1020"/>
        </w:numPr>
        <w:pStyle w:val="Compact"/>
      </w:pPr>
      <w:r>
        <w:t xml:space="preserve">☐ 보안 모의침투 결과 Critical 0건</w:t>
      </w:r>
    </w:p>
    <w:p>
      <w:pPr>
        <w:numPr>
          <w:ilvl w:val="0"/>
          <w:numId w:val="1020"/>
        </w:numPr>
        <w:pStyle w:val="Compact"/>
      </w:pPr>
      <w:r>
        <w:t xml:space="preserve">☐ 카오스 엔지니어링 시나리오 ≥3건 통과</w:t>
      </w:r>
    </w:p>
    <w:p>
      <w:pPr>
        <w:pStyle w:val="Heading3"/>
      </w:pPr>
      <w:bookmarkStart w:id="80" w:name="규제컴플라이언스-regulatory"/>
      <w:r>
        <w:t xml:space="preserve">7-4. 규제·컴플라이언스 (Regulatory)</w:t>
      </w:r>
      <w:bookmarkEnd w:id="80"/>
    </w:p>
    <w:p>
      <w:pPr>
        <w:numPr>
          <w:ilvl w:val="0"/>
          <w:numId w:val="1021"/>
        </w:numPr>
        <w:pStyle w:val="Compact"/>
      </w:pPr>
      <w:r>
        <w:t xml:space="preserve">☐ 금감원 사전협의·후속 보고 완료</w:t>
      </w:r>
    </w:p>
    <w:p>
      <w:pPr>
        <w:numPr>
          <w:ilvl w:val="0"/>
          <w:numId w:val="1021"/>
        </w:numPr>
        <w:pStyle w:val="Compact"/>
      </w:pPr>
      <w:r>
        <w:t xml:space="preserve">☐ 전자금융감독규정 점검표(34개 항목) 100% 충족</w:t>
      </w:r>
    </w:p>
    <w:p>
      <w:pPr>
        <w:numPr>
          <w:ilvl w:val="0"/>
          <w:numId w:val="1021"/>
        </w:numPr>
        <w:pStyle w:val="Compact"/>
      </w:pPr>
      <w:r>
        <w:t xml:space="preserve">☐ 클라우드 이용 가이드라인(2024 개정판) 충족 보고서 제출</w:t>
      </w:r>
    </w:p>
    <w:p>
      <w:pPr>
        <w:numPr>
          <w:ilvl w:val="0"/>
          <w:numId w:val="1021"/>
        </w:numPr>
        <w:pStyle w:val="Compact"/>
      </w:pPr>
      <w:r>
        <w:t xml:space="preserve">☐ 개인정보 영향평가(PIA) 완료</w:t>
      </w:r>
    </w:p>
    <w:p>
      <w:pPr>
        <w:numPr>
          <w:ilvl w:val="0"/>
          <w:numId w:val="1021"/>
        </w:numPr>
        <w:pStyle w:val="Compact"/>
      </w:pPr>
      <w:r>
        <w:t xml:space="preserve">☐ 외부 감사(IT 컴플라이언스) 의견 무리한 사항 없음</w:t>
      </w:r>
    </w:p>
    <w:p>
      <w:pPr>
        <w:pStyle w:val="Heading3"/>
      </w:pPr>
      <w:bookmarkStart w:id="81" w:name="운영-operations"/>
      <w:r>
        <w:t xml:space="preserve">7-5. 운영 (Operations)</w:t>
      </w:r>
      <w:bookmarkEnd w:id="81"/>
    </w:p>
    <w:p>
      <w:pPr>
        <w:numPr>
          <w:ilvl w:val="0"/>
          <w:numId w:val="1022"/>
        </w:numPr>
        <w:pStyle w:val="Compact"/>
      </w:pPr>
      <w:r>
        <w:t xml:space="preserve">☐ SRE 온콜 로테이션 운영 4주 이상 안정</w:t>
      </w:r>
    </w:p>
    <w:p>
      <w:pPr>
        <w:numPr>
          <w:ilvl w:val="0"/>
          <w:numId w:val="1022"/>
        </w:numPr>
        <w:pStyle w:val="Compact"/>
      </w:pPr>
      <w:r>
        <w:t xml:space="preserve">☐ 런북·플레이북 v1.0 작성·승인</w:t>
      </w:r>
    </w:p>
    <w:p>
      <w:pPr>
        <w:numPr>
          <w:ilvl w:val="0"/>
          <w:numId w:val="1022"/>
        </w:numPr>
        <w:pStyle w:val="Compact"/>
      </w:pPr>
      <w:r>
        <w:t xml:space="preserve">☐ 24/7 모니터링 알림 false positive ≤10%</w:t>
      </w:r>
    </w:p>
    <w:p>
      <w:pPr>
        <w:numPr>
          <w:ilvl w:val="0"/>
          <w:numId w:val="1022"/>
        </w:numPr>
        <w:pStyle w:val="Compact"/>
      </w:pPr>
      <w:r>
        <w:t xml:space="preserve">☐ BC/DR 훈련 완료</w:t>
      </w:r>
    </w:p>
    <w:p>
      <w:pPr>
        <w:numPr>
          <w:ilvl w:val="0"/>
          <w:numId w:val="1022"/>
        </w:numPr>
        <w:pStyle w:val="Compact"/>
      </w:pPr>
      <w:r>
        <w:t xml:space="preserve">☐ 인력 전환 계획상 핵심 인력 ≥85% 잔존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부록-a-의사결정-일정"/>
      <w:r>
        <w:t xml:space="preserve">부록 A — 의사결정 일정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의사결정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책임자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left"/>
            </w:pPr>
            <w:r>
              <w:t xml:space="preserve">계획 승인 및 예산 확보</w:t>
            </w:r>
          </w:p>
        </w:tc>
        <w:tc>
          <w:p>
            <w:pPr>
              <w:pStyle w:val="Compact"/>
              <w:jc w:val="left"/>
            </w:pPr>
            <w:r>
              <w:t xml:space="preserve">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클라우드 벤더 단일/멀티 결정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Phase 1 → 2 게이트</w:t>
            </w:r>
          </w:p>
        </w:tc>
        <w:tc>
          <w:p>
            <w:pPr>
              <w:pStyle w:val="Compact"/>
              <w:jc w:val="left"/>
            </w:pPr>
            <w:r>
              <w:t xml:space="preserve">운영위원회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p>
            <w:pPr>
              <w:pStyle w:val="Compact"/>
              <w:jc w:val="left"/>
            </w:pPr>
            <w:r>
              <w:t xml:space="preserve">핵심 인력 리텐션 보너스 집행</w:t>
            </w:r>
          </w:p>
        </w:tc>
        <w:tc>
          <w:p>
            <w:pPr>
              <w:pStyle w:val="Compact"/>
              <w:jc w:val="left"/>
            </w:pPr>
            <w:r>
              <w:t xml:space="preserve">CHRO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p>
            <w:pPr>
              <w:pStyle w:val="Compact"/>
              <w:jc w:val="left"/>
            </w:pPr>
            <w:r>
              <w:t xml:space="preserve">Phase 2 → 3 게이트</w:t>
            </w:r>
          </w:p>
        </w:tc>
        <w:tc>
          <w:p>
            <w:pPr>
              <w:pStyle w:val="Compact"/>
              <w:jc w:val="left"/>
            </w:pPr>
            <w:r>
              <w:t xml:space="preserve">운영위원회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p>
            <w:pPr>
              <w:pStyle w:val="Compact"/>
              <w:jc w:val="left"/>
            </w:pPr>
            <w:r>
              <w:t xml:space="preserve">Big Bang Cutover 일자 확정</w:t>
            </w:r>
          </w:p>
        </w:tc>
        <w:tc>
          <w:p>
            <w:pPr>
              <w:pStyle w:val="Compact"/>
              <w:jc w:val="left"/>
            </w:pPr>
            <w:r>
              <w:t xml:space="preserve">CIO + CRO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p>
            <w:pPr>
              <w:pStyle w:val="Compact"/>
              <w:jc w:val="left"/>
            </w:pPr>
            <w:r>
              <w:t xml:space="preserve">메인프레임 폐기 공식 선언</w:t>
            </w:r>
          </w:p>
        </w:tc>
        <w:tc>
          <w:p>
            <w:pPr>
              <w:pStyle w:val="Compact"/>
              <w:jc w:val="left"/>
            </w:pPr>
            <w:r>
              <w:t xml:space="preserve">CEO 보고</w:t>
            </w:r>
          </w:p>
        </w:tc>
      </w:tr>
    </w:tbl>
    <w:p>
      <w:pPr>
        <w:pStyle w:val="Heading2"/>
      </w:pPr>
      <w:bookmarkStart w:id="83" w:name="부록-b-외부-참조-표준"/>
      <w:r>
        <w:t xml:space="preserve">부록 B — 외부 참조 표준</w:t>
      </w:r>
      <w:bookmarkEnd w:id="83"/>
    </w:p>
    <w:p>
      <w:pPr>
        <w:numPr>
          <w:ilvl w:val="0"/>
          <w:numId w:val="1023"/>
        </w:numPr>
        <w:pStyle w:val="Compact"/>
      </w:pPr>
      <w:r>
        <w:t xml:space="preserve">금융감독원 「전자금융감독규정」 8조, 14조의2</w:t>
      </w:r>
    </w:p>
    <w:p>
      <w:pPr>
        <w:numPr>
          <w:ilvl w:val="0"/>
          <w:numId w:val="1023"/>
        </w:numPr>
        <w:pStyle w:val="Compact"/>
      </w:pPr>
      <w:r>
        <w:t xml:space="preserve">금융위 「클라우드 컴퓨팅 서비스 이용 가이드라인」(2024 개정)</w:t>
      </w:r>
    </w:p>
    <w:p>
      <w:pPr>
        <w:numPr>
          <w:ilvl w:val="0"/>
          <w:numId w:val="1023"/>
        </w:numPr>
        <w:pStyle w:val="Compact"/>
      </w:pPr>
      <w:r>
        <w:t xml:space="preserve">ISO 22301 (BCMS)</w:t>
      </w:r>
    </w:p>
    <w:p>
      <w:pPr>
        <w:numPr>
          <w:ilvl w:val="0"/>
          <w:numId w:val="1023"/>
        </w:numPr>
        <w:pStyle w:val="Compact"/>
      </w:pPr>
      <w:r>
        <w:t xml:space="preserve">NIST SP 800-204C (마이크로서비스 보안)</w:t>
      </w:r>
    </w:p>
    <w:p>
      <w:pPr>
        <w:numPr>
          <w:ilvl w:val="0"/>
          <w:numId w:val="1023"/>
        </w:numPr>
        <w:pStyle w:val="Compact"/>
      </w:pPr>
      <w:r>
        <w:t xml:space="preserve">AWS Well-Architected Financial Services Lens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디스패치(저)에서 cmux의 gemini 응답 흐름을 안정적으로 보존하고, 1·2번 리포트를 통합하여 18개월 실행 계획으로 재구성한 문서입니다. gemini 호스트 측에는 동일 본문이</w:t>
      </w:r>
      <w:r>
        <w:rPr>
          <w:i/>
        </w:rPr>
        <w:t xml:space="preserve"> </w:t>
      </w:r>
      <w:r>
        <w:rPr>
          <w:rStyle w:val="VerbatimChar"/>
          <w:i/>
        </w:rPr>
        <w:t xml:space="preserve">C:\Users\신이재\outputs\p3_final_migration_plan.md</w:t>
      </w:r>
      <w:r>
        <w:rPr>
          <w:i/>
        </w:rPr>
        <w:t xml:space="preserve"> </w:t>
      </w:r>
      <w:r>
        <w:rPr>
          <w:i/>
        </w:rPr>
        <w:t xml:space="preserve">경로에 저장된 것으로 보고되었습니다.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ko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삼성SDS 메인프레임 클라우드 마이그레이션 — 통합 최종 보고서</dc:title>
  <dc:creator>프로젝트 마이그레이션 TF</dc:creator>
  <dc:language>ko</dc:language>
  <cp:keywords/>
  <dcterms:created xsi:type="dcterms:W3CDTF">2026-04-29T06:26:06Z</dcterms:created>
  <dcterms:modified xsi:type="dcterms:W3CDTF">2026-04-29T06:26:06Z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2026년 4월 29일</vt:lpwstr>
  </property>
  <property fmtid="{D5CDD505-2E9C-101B-9397-08002B2CF9AE}" pid="3" name="documentclass">
    <vt:lpwstr>report</vt:lpwstr>
  </property>
  <property fmtid="{D5CDD505-2E9C-101B-9397-08002B2CF9AE}" pid="4" name="subtitle">
    <vt:lpwstr>분석 · 설계 · 실행 계획</vt:lpwstr>
  </property>
  <property fmtid="{D5CDD505-2E9C-101B-9397-08002B2CF9AE}" pid="5" name="toc">
    <vt:lpwstr>True</vt:lpwstr>
  </property>
  <property fmtid="{D5CDD505-2E9C-101B-9397-08002B2CF9AE}" pid="6" name="toc-depth">
    <vt:lpwstr>2</vt:lpwstr>
  </property>
</Properties>
</file>