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2211" w:rsidRDefault="008E2211" w:rsidP="008E2211">
      <w:pPr>
        <w:spacing w:line="360" w:lineRule="auto"/>
        <w:rPr>
          <w:rFonts w:ascii="Times New Roman" w:hAnsi="Times New Roman" w:hint="eastAsia"/>
          <w:b/>
          <w:szCs w:val="21"/>
        </w:rPr>
      </w:pPr>
      <w:r w:rsidRPr="00070F23">
        <w:rPr>
          <w:rFonts w:ascii="Times New Roman" w:hAnsi="Times New Roman" w:hint="eastAsia"/>
          <w:b/>
          <w:szCs w:val="21"/>
        </w:rPr>
        <w:t>总体思路</w:t>
      </w:r>
    </w:p>
    <w:p w:rsidR="008E2211" w:rsidRDefault="008E2211" w:rsidP="008E2211">
      <w:pPr>
        <w:spacing w:line="360" w:lineRule="auto"/>
        <w:ind w:firstLineChars="196" w:firstLine="412"/>
        <w:rPr>
          <w:rFonts w:ascii="Times New Roman" w:hAnsi="Times New Roman" w:hint="eastAsia"/>
          <w:szCs w:val="21"/>
        </w:rPr>
      </w:pPr>
      <w:r w:rsidRPr="003D0262">
        <w:rPr>
          <w:rFonts w:ascii="Times New Roman" w:hAnsi="Times New Roman" w:hint="eastAsia"/>
          <w:szCs w:val="21"/>
        </w:rPr>
        <w:t>所有的实验程序经由我单位动物调查委员会批准，并均按照</w:t>
      </w:r>
      <w:r>
        <w:rPr>
          <w:rFonts w:ascii="Times New Roman" w:hAnsi="Times New Roman" w:hint="eastAsia"/>
          <w:szCs w:val="21"/>
        </w:rPr>
        <w:t>我国卫生研究</w:t>
      </w:r>
      <w:r w:rsidRPr="003D0262">
        <w:rPr>
          <w:rFonts w:ascii="Times New Roman" w:hAnsi="Times New Roman" w:hint="eastAsia"/>
          <w:szCs w:val="21"/>
        </w:rPr>
        <w:t>使用实验动物准则。共</w:t>
      </w:r>
      <w:r w:rsidRPr="003D0262">
        <w:rPr>
          <w:rFonts w:ascii="Times New Roman" w:hAnsi="Times New Roman" w:hint="eastAsia"/>
          <w:szCs w:val="21"/>
        </w:rPr>
        <w:t>112</w:t>
      </w:r>
      <w:r w:rsidRPr="003D0262">
        <w:rPr>
          <w:rFonts w:ascii="Times New Roman" w:hAnsi="Times New Roman" w:hint="eastAsia"/>
          <w:szCs w:val="21"/>
        </w:rPr>
        <w:t>成年雄性性</w:t>
      </w:r>
      <w:r w:rsidRPr="003D0262">
        <w:rPr>
          <w:rFonts w:ascii="Times New Roman" w:hAnsi="Times New Roman" w:hint="eastAsia"/>
          <w:szCs w:val="21"/>
        </w:rPr>
        <w:t>SD</w:t>
      </w:r>
      <w:r w:rsidRPr="003D0262">
        <w:rPr>
          <w:rFonts w:ascii="Times New Roman" w:hAnsi="Times New Roman" w:hint="eastAsia"/>
          <w:szCs w:val="21"/>
        </w:rPr>
        <w:t>大鼠（</w:t>
      </w:r>
      <w:r w:rsidRPr="003D0262">
        <w:rPr>
          <w:rFonts w:ascii="Times New Roman" w:hAnsi="Times New Roman" w:hint="eastAsia"/>
          <w:szCs w:val="21"/>
        </w:rPr>
        <w:t>Charles River</w:t>
      </w:r>
      <w:r w:rsidRPr="003D0262">
        <w:rPr>
          <w:rFonts w:ascii="Times New Roman" w:hAnsi="Times New Roman" w:hint="eastAsia"/>
          <w:szCs w:val="21"/>
        </w:rPr>
        <w:t>实验室）。将大鼠（每组</w:t>
      </w:r>
      <w:r w:rsidRPr="003D0262">
        <w:rPr>
          <w:rFonts w:ascii="Times New Roman" w:hAnsi="Times New Roman" w:hint="eastAsia"/>
          <w:szCs w:val="21"/>
        </w:rPr>
        <w:t>8</w:t>
      </w:r>
      <w:r w:rsidRPr="003D0262">
        <w:rPr>
          <w:rFonts w:ascii="Times New Roman" w:hAnsi="Times New Roman" w:hint="eastAsia"/>
          <w:szCs w:val="21"/>
        </w:rPr>
        <w:t>只）随机分为假手术组，即没有给予大脑中动脉堵塞处理；和</w:t>
      </w:r>
      <w:r w:rsidRPr="003D0262">
        <w:rPr>
          <w:rFonts w:ascii="Times New Roman" w:hAnsi="Times New Roman" w:hint="eastAsia"/>
          <w:szCs w:val="21"/>
        </w:rPr>
        <w:t>4</w:t>
      </w:r>
      <w:r w:rsidRPr="003D0262">
        <w:rPr>
          <w:rFonts w:ascii="Times New Roman" w:hAnsi="Times New Roman" w:hint="eastAsia"/>
          <w:szCs w:val="21"/>
        </w:rPr>
        <w:t>组大脑中动脉闭塞处理的，包括对照假手术组、乙醇干预组（再灌注开始时接受腹腔注射乙醇（</w:t>
      </w:r>
      <w:r w:rsidRPr="003D0262">
        <w:rPr>
          <w:rFonts w:ascii="Times New Roman" w:hAnsi="Times New Roman" w:hint="eastAsia"/>
          <w:szCs w:val="21"/>
        </w:rPr>
        <w:t>1.0g/kg</w:t>
      </w:r>
      <w:r w:rsidRPr="003D0262">
        <w:rPr>
          <w:rFonts w:ascii="Times New Roman" w:hAnsi="Times New Roman" w:hint="eastAsia"/>
          <w:szCs w:val="21"/>
        </w:rPr>
        <w:t>）），</w:t>
      </w:r>
      <w:r w:rsidRPr="003D0262">
        <w:rPr>
          <w:rFonts w:ascii="Times New Roman" w:hAnsi="Times New Roman" w:hint="eastAsia"/>
          <w:szCs w:val="21"/>
        </w:rPr>
        <w:t>NBO</w:t>
      </w:r>
      <w:r w:rsidRPr="003D0262">
        <w:rPr>
          <w:rFonts w:ascii="Times New Roman" w:hAnsi="Times New Roman" w:hint="eastAsia"/>
          <w:szCs w:val="21"/>
        </w:rPr>
        <w:t>干预组（再灌注后予</w:t>
      </w:r>
      <w:r w:rsidRPr="003D0262">
        <w:rPr>
          <w:rFonts w:ascii="Times New Roman" w:hAnsi="Times New Roman" w:hint="eastAsia"/>
          <w:szCs w:val="21"/>
        </w:rPr>
        <w:t>95%</w:t>
      </w:r>
      <w:r w:rsidRPr="003D0262">
        <w:rPr>
          <w:rFonts w:ascii="Times New Roman" w:hAnsi="Times New Roman" w:hint="eastAsia"/>
          <w:szCs w:val="21"/>
        </w:rPr>
        <w:t>氧气，持续</w:t>
      </w:r>
      <w:r w:rsidRPr="003D0262">
        <w:rPr>
          <w:rFonts w:ascii="Times New Roman" w:hAnsi="Times New Roman" w:hint="eastAsia"/>
          <w:szCs w:val="21"/>
        </w:rPr>
        <w:t>2</w:t>
      </w:r>
      <w:r w:rsidRPr="003D0262">
        <w:rPr>
          <w:rFonts w:ascii="Times New Roman" w:hAnsi="Times New Roman" w:hint="eastAsia"/>
          <w:szCs w:val="21"/>
        </w:rPr>
        <w:t>小时），和</w:t>
      </w:r>
      <w:r w:rsidRPr="003D0262">
        <w:rPr>
          <w:rFonts w:ascii="Times New Roman" w:hAnsi="Times New Roman" w:hint="eastAsia"/>
          <w:szCs w:val="21"/>
        </w:rPr>
        <w:t>NBO-</w:t>
      </w:r>
      <w:r w:rsidRPr="003D0262">
        <w:rPr>
          <w:rFonts w:ascii="Times New Roman" w:hAnsi="Times New Roman" w:hint="eastAsia"/>
          <w:szCs w:val="21"/>
        </w:rPr>
        <w:t>乙醇联合干预组（再灌注开始时腹腔内注射</w:t>
      </w:r>
      <w:r w:rsidRPr="003D0262">
        <w:rPr>
          <w:rFonts w:ascii="Times New Roman" w:hAnsi="Times New Roman" w:hint="eastAsia"/>
          <w:szCs w:val="21"/>
        </w:rPr>
        <w:t>1.0g/kg</w:t>
      </w:r>
      <w:r w:rsidRPr="003D0262">
        <w:rPr>
          <w:rFonts w:ascii="Times New Roman" w:hAnsi="Times New Roman" w:hint="eastAsia"/>
          <w:szCs w:val="21"/>
        </w:rPr>
        <w:t>乙醇，随之再灌注期间给予</w:t>
      </w:r>
      <w:r w:rsidRPr="003D0262">
        <w:rPr>
          <w:rFonts w:ascii="Times New Roman" w:hAnsi="Times New Roman" w:hint="eastAsia"/>
          <w:szCs w:val="21"/>
        </w:rPr>
        <w:t>95%</w:t>
      </w:r>
      <w:r w:rsidRPr="003D0262">
        <w:rPr>
          <w:rFonts w:ascii="Times New Roman" w:hAnsi="Times New Roman" w:hint="eastAsia"/>
          <w:szCs w:val="21"/>
        </w:rPr>
        <w:t>氧气，持续</w:t>
      </w:r>
      <w:r w:rsidRPr="003D0262">
        <w:rPr>
          <w:rFonts w:ascii="Times New Roman" w:hAnsi="Times New Roman" w:hint="eastAsia"/>
          <w:szCs w:val="21"/>
        </w:rPr>
        <w:t>2</w:t>
      </w:r>
      <w:r w:rsidRPr="003D0262">
        <w:rPr>
          <w:rFonts w:ascii="Times New Roman" w:hAnsi="Times New Roman" w:hint="eastAsia"/>
          <w:szCs w:val="21"/>
        </w:rPr>
        <w:t>小时）。</w:t>
      </w:r>
      <w:r>
        <w:rPr>
          <w:rFonts w:ascii="Times New Roman" w:hAnsi="Times New Roman" w:hint="eastAsia"/>
          <w:szCs w:val="21"/>
        </w:rPr>
        <w:t>通过比较不同干预组组大鼠脑梗死体积、神经功能评分来评价</w:t>
      </w:r>
      <w:r>
        <w:rPr>
          <w:rFonts w:ascii="Times New Roman" w:hAnsi="Times New Roman" w:hint="eastAsia"/>
          <w:szCs w:val="21"/>
        </w:rPr>
        <w:t>NBO</w:t>
      </w:r>
      <w:r>
        <w:rPr>
          <w:rFonts w:ascii="Times New Roman" w:hAnsi="Times New Roman" w:hint="eastAsia"/>
          <w:szCs w:val="21"/>
        </w:rPr>
        <w:t>联合乙醇的协同神经保护效果，通过</w:t>
      </w:r>
      <w:r>
        <w:rPr>
          <w:rFonts w:ascii="Times New Roman" w:hAnsi="Times New Roman" w:hint="eastAsia"/>
          <w:szCs w:val="21"/>
        </w:rPr>
        <w:t>ADP/ATP</w:t>
      </w:r>
      <w:r>
        <w:rPr>
          <w:rFonts w:ascii="Times New Roman" w:hAnsi="Times New Roman" w:hint="eastAsia"/>
          <w:szCs w:val="21"/>
        </w:rPr>
        <w:t>比值、</w:t>
      </w:r>
      <w:r>
        <w:rPr>
          <w:rFonts w:ascii="Times New Roman" w:hAnsi="Times New Roman" w:hint="eastAsia"/>
          <w:szCs w:val="21"/>
        </w:rPr>
        <w:t>ROS</w:t>
      </w:r>
      <w:r>
        <w:rPr>
          <w:rFonts w:ascii="Times New Roman" w:hAnsi="Times New Roman" w:hint="eastAsia"/>
          <w:szCs w:val="21"/>
        </w:rPr>
        <w:t>值、</w:t>
      </w:r>
      <w:r>
        <w:rPr>
          <w:rFonts w:ascii="Times New Roman" w:hAnsi="Times New Roman" w:hint="eastAsia"/>
          <w:szCs w:val="21"/>
        </w:rPr>
        <w:t>NOX</w:t>
      </w:r>
      <w:r>
        <w:rPr>
          <w:rFonts w:ascii="Times New Roman" w:hAnsi="Times New Roman" w:hint="eastAsia"/>
          <w:szCs w:val="21"/>
        </w:rPr>
        <w:t>、</w:t>
      </w:r>
      <w:r>
        <w:rPr>
          <w:rFonts w:ascii="Times New Roman" w:hAnsi="Times New Roman" w:hint="eastAsia"/>
          <w:szCs w:val="21"/>
        </w:rPr>
        <w:t>PDH</w:t>
      </w:r>
      <w:r>
        <w:rPr>
          <w:rFonts w:ascii="Times New Roman" w:hAnsi="Times New Roman" w:hint="eastAsia"/>
          <w:szCs w:val="21"/>
        </w:rPr>
        <w:t>活性及相关蛋白表达评价氧化代谢改善程度，通过测定细胞凋亡性死亡（</w:t>
      </w:r>
      <w:r>
        <w:rPr>
          <w:rFonts w:ascii="Times New Roman" w:hAnsi="Times New Roman" w:hint="eastAsia"/>
          <w:szCs w:val="21"/>
        </w:rPr>
        <w:t>Cell death</w:t>
      </w:r>
      <w:r>
        <w:rPr>
          <w:rFonts w:ascii="Times New Roman" w:hAnsi="Times New Roman" w:hint="eastAsia"/>
          <w:szCs w:val="21"/>
        </w:rPr>
        <w:t>）评价</w:t>
      </w:r>
      <w:r>
        <w:rPr>
          <w:rFonts w:ascii="Times New Roman" w:hAnsi="Times New Roman" w:hint="eastAsia"/>
          <w:szCs w:val="21"/>
        </w:rPr>
        <w:t>NBO</w:t>
      </w:r>
      <w:r>
        <w:rPr>
          <w:rFonts w:ascii="Times New Roman" w:hAnsi="Times New Roman" w:hint="eastAsia"/>
          <w:szCs w:val="21"/>
        </w:rPr>
        <w:t>联合乙醇抑制脑梗死后凋亡作用，并测定凋亡相关蛋白表达。</w:t>
      </w:r>
    </w:p>
    <w:p w:rsidR="008E2211" w:rsidRPr="00070F23" w:rsidRDefault="008E2211" w:rsidP="008E2211">
      <w:pPr>
        <w:spacing w:line="360" w:lineRule="auto"/>
        <w:rPr>
          <w:rFonts w:ascii="Times New Roman" w:hAnsi="Times New Roman" w:hint="eastAsia"/>
          <w:b/>
          <w:szCs w:val="21"/>
        </w:rPr>
      </w:pPr>
      <w:r w:rsidRPr="00070F23">
        <w:rPr>
          <w:rFonts w:ascii="Times New Roman" w:hAnsi="Times New Roman" w:hint="eastAsia"/>
          <w:b/>
          <w:szCs w:val="21"/>
        </w:rPr>
        <w:t>技术方案</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1.1</w:t>
      </w:r>
      <w:r w:rsidRPr="003D0262">
        <w:rPr>
          <w:rFonts w:ascii="Times New Roman" w:hAnsi="Times New Roman" w:hint="eastAsia"/>
          <w:b/>
          <w:szCs w:val="21"/>
        </w:rPr>
        <w:t>急性脑梗死模型</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大脑中动脉闭塞模型采用</w:t>
      </w:r>
      <w:r w:rsidRPr="003D0262">
        <w:rPr>
          <w:rFonts w:ascii="Times New Roman" w:hAnsi="Times New Roman" w:hint="eastAsia"/>
          <w:szCs w:val="21"/>
        </w:rPr>
        <w:t xml:space="preserve">Longa </w:t>
      </w:r>
      <w:r w:rsidRPr="003D0262">
        <w:rPr>
          <w:rFonts w:ascii="Times New Roman" w:hAnsi="Times New Roman" w:hint="eastAsia"/>
          <w:szCs w:val="21"/>
        </w:rPr>
        <w:t>等</w:t>
      </w:r>
      <w:r>
        <w:rPr>
          <w:rFonts w:ascii="Times New Roman" w:hAnsi="Times New Roman" w:hint="eastAsia"/>
          <w:szCs w:val="21"/>
        </w:rPr>
        <w:t>[1]</w:t>
      </w:r>
      <w:r w:rsidRPr="003D0262">
        <w:rPr>
          <w:rFonts w:ascii="Times New Roman" w:hAnsi="Times New Roman" w:hint="eastAsia"/>
          <w:szCs w:val="21"/>
        </w:rPr>
        <w:t>描述的管腔内线栓栓塞模型，栓塞持续时间</w:t>
      </w:r>
      <w:r w:rsidRPr="003D0262">
        <w:rPr>
          <w:rFonts w:ascii="Times New Roman" w:hAnsi="Times New Roman" w:hint="eastAsia"/>
          <w:szCs w:val="21"/>
        </w:rPr>
        <w:t>2</w:t>
      </w:r>
      <w:r w:rsidRPr="003D0262">
        <w:rPr>
          <w:rFonts w:ascii="Times New Roman" w:hAnsi="Times New Roman" w:hint="eastAsia"/>
          <w:szCs w:val="21"/>
        </w:rPr>
        <w:t>小时。大鼠基础生命体征包括：氧分压、二氧化碳分压、心率、平均动脉压，以及直肠和大脑温度在整个实验过程持续监测。通过使用循环式的加热垫和加热灯使直肠温度保持在</w:t>
      </w:r>
      <w:r w:rsidRPr="003D0262">
        <w:rPr>
          <w:rFonts w:ascii="Times New Roman" w:hAnsi="Times New Roman" w:hint="eastAsia"/>
          <w:szCs w:val="21"/>
        </w:rPr>
        <w:t>36.5</w:t>
      </w:r>
      <w:r w:rsidRPr="003D0262">
        <w:rPr>
          <w:rFonts w:ascii="Times New Roman" w:hAnsi="Times New Roman" w:hint="eastAsia"/>
          <w:szCs w:val="21"/>
        </w:rPr>
        <w:t>℃至</w:t>
      </w:r>
      <w:r w:rsidRPr="003D0262">
        <w:rPr>
          <w:rFonts w:ascii="Times New Roman" w:hAnsi="Times New Roman" w:hint="eastAsia"/>
          <w:szCs w:val="21"/>
        </w:rPr>
        <w:t>37.5</w:t>
      </w:r>
      <w:r w:rsidRPr="003D0262">
        <w:rPr>
          <w:rFonts w:ascii="Times New Roman" w:hAnsi="Times New Roman" w:hint="eastAsia"/>
          <w:szCs w:val="21"/>
        </w:rPr>
        <w:t>℃。</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1.2</w:t>
      </w:r>
      <w:r w:rsidRPr="003D0262">
        <w:rPr>
          <w:rFonts w:ascii="Times New Roman" w:hAnsi="Times New Roman" w:hint="eastAsia"/>
          <w:b/>
          <w:szCs w:val="21"/>
        </w:rPr>
        <w:t>常压氧治疗</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大脑中动脉闭塞</w:t>
      </w:r>
      <w:r w:rsidRPr="003D0262">
        <w:rPr>
          <w:rFonts w:ascii="Times New Roman" w:hAnsi="Times New Roman" w:hint="eastAsia"/>
          <w:szCs w:val="21"/>
        </w:rPr>
        <w:t>2</w:t>
      </w:r>
      <w:r w:rsidRPr="003D0262">
        <w:rPr>
          <w:rFonts w:ascii="Times New Roman" w:hAnsi="Times New Roman" w:hint="eastAsia"/>
          <w:szCs w:val="21"/>
        </w:rPr>
        <w:t>小时后，通过拔除线栓实现再灌注。缺血的大鼠暴露在</w:t>
      </w:r>
      <w:r w:rsidRPr="003D0262">
        <w:rPr>
          <w:rFonts w:ascii="Times New Roman" w:hAnsi="Times New Roman" w:hint="eastAsia"/>
          <w:szCs w:val="21"/>
        </w:rPr>
        <w:t>95%</w:t>
      </w:r>
      <w:r w:rsidRPr="003D0262">
        <w:rPr>
          <w:rFonts w:ascii="Times New Roman" w:hAnsi="Times New Roman" w:hint="eastAsia"/>
          <w:szCs w:val="21"/>
        </w:rPr>
        <w:t>氧气的密封腔室（</w:t>
      </w:r>
      <w:r w:rsidRPr="003D0262">
        <w:rPr>
          <w:rFonts w:ascii="Times New Roman" w:hAnsi="Times New Roman" w:hint="eastAsia"/>
          <w:szCs w:val="21"/>
        </w:rPr>
        <w:t>50</w:t>
      </w:r>
      <w:r w:rsidRPr="003D0262">
        <w:rPr>
          <w:rFonts w:ascii="Times New Roman" w:hAnsi="Times New Roman" w:hint="eastAsia"/>
          <w:szCs w:val="21"/>
        </w:rPr>
        <w:t>×</w:t>
      </w:r>
      <w:r w:rsidRPr="003D0262">
        <w:rPr>
          <w:rFonts w:ascii="Times New Roman" w:hAnsi="Times New Roman" w:hint="eastAsia"/>
          <w:szCs w:val="21"/>
        </w:rPr>
        <w:t>25</w:t>
      </w:r>
      <w:r w:rsidRPr="003D0262">
        <w:rPr>
          <w:rFonts w:ascii="Times New Roman" w:hAnsi="Times New Roman" w:hint="eastAsia"/>
          <w:szCs w:val="21"/>
        </w:rPr>
        <w:t>×</w:t>
      </w:r>
      <w:r w:rsidRPr="003D0262">
        <w:rPr>
          <w:rFonts w:ascii="Times New Roman" w:hAnsi="Times New Roman" w:hint="eastAsia"/>
          <w:szCs w:val="21"/>
        </w:rPr>
        <w:t>25</w:t>
      </w:r>
      <w:r w:rsidRPr="003D0262">
        <w:rPr>
          <w:rFonts w:ascii="Times New Roman" w:hAnsi="Times New Roman" w:hint="eastAsia"/>
          <w:szCs w:val="21"/>
        </w:rPr>
        <w:t>厘米）持续</w:t>
      </w:r>
      <w:r w:rsidRPr="003D0262">
        <w:rPr>
          <w:rFonts w:ascii="Times New Roman" w:hAnsi="Times New Roman" w:hint="eastAsia"/>
          <w:szCs w:val="21"/>
        </w:rPr>
        <w:t>2</w:t>
      </w:r>
      <w:r w:rsidRPr="003D0262">
        <w:rPr>
          <w:rFonts w:ascii="Times New Roman" w:hAnsi="Times New Roman" w:hint="eastAsia"/>
          <w:szCs w:val="21"/>
        </w:rPr>
        <w:t>小时。氧的浓度和流速（</w:t>
      </w:r>
      <w:r w:rsidRPr="003D0262">
        <w:rPr>
          <w:rFonts w:ascii="Times New Roman" w:hAnsi="Times New Roman" w:hint="eastAsia"/>
          <w:szCs w:val="21"/>
        </w:rPr>
        <w:t>2</w:t>
      </w:r>
      <w:r w:rsidRPr="003D0262">
        <w:rPr>
          <w:rFonts w:ascii="Times New Roman" w:hAnsi="Times New Roman" w:hint="eastAsia"/>
          <w:szCs w:val="21"/>
        </w:rPr>
        <w:t>升</w:t>
      </w:r>
      <w:r w:rsidRPr="003D0262">
        <w:rPr>
          <w:rFonts w:ascii="Times New Roman" w:hAnsi="Times New Roman" w:hint="eastAsia"/>
          <w:szCs w:val="21"/>
        </w:rPr>
        <w:t>/</w:t>
      </w:r>
      <w:r w:rsidRPr="003D0262">
        <w:rPr>
          <w:rFonts w:ascii="Times New Roman" w:hAnsi="Times New Roman" w:hint="eastAsia"/>
          <w:szCs w:val="21"/>
        </w:rPr>
        <w:t>分钟），并使用氧浓度控制器（</w:t>
      </w:r>
      <w:r w:rsidRPr="003D0262">
        <w:rPr>
          <w:rFonts w:ascii="Times New Roman" w:hAnsi="Times New Roman" w:hint="eastAsia"/>
          <w:szCs w:val="21"/>
        </w:rPr>
        <w:t>PRO-OX110</w:t>
      </w:r>
      <w:r w:rsidRPr="003D0262">
        <w:rPr>
          <w:rFonts w:ascii="Times New Roman" w:hAnsi="Times New Roman" w:hint="eastAsia"/>
          <w:szCs w:val="21"/>
        </w:rPr>
        <w:t>；</w:t>
      </w:r>
      <w:r w:rsidRPr="003D0262">
        <w:rPr>
          <w:rFonts w:ascii="Times New Roman" w:hAnsi="Times New Roman" w:hint="eastAsia"/>
          <w:szCs w:val="21"/>
        </w:rPr>
        <w:t xml:space="preserve"> Reming Bioinstruments, Redfield</w:t>
      </w:r>
      <w:r w:rsidRPr="003D0262">
        <w:rPr>
          <w:rFonts w:ascii="Times New Roman" w:hAnsi="Times New Roman" w:hint="eastAsia"/>
          <w:szCs w:val="21"/>
        </w:rPr>
        <w:t>公司，美国）来维持氧仓内均衡氧浓度。同时，二氧化碳的通过放置在腔室的底部碱石灰（</w:t>
      </w:r>
      <w:r w:rsidRPr="003D0262">
        <w:rPr>
          <w:rFonts w:ascii="Times New Roman" w:hAnsi="Times New Roman" w:hint="eastAsia"/>
          <w:szCs w:val="21"/>
        </w:rPr>
        <w:t>Sigma</w:t>
      </w:r>
      <w:r w:rsidRPr="003D0262">
        <w:rPr>
          <w:rFonts w:ascii="Times New Roman" w:hAnsi="Times New Roman" w:hint="eastAsia"/>
          <w:szCs w:val="21"/>
        </w:rPr>
        <w:t>公司，美国）移除。</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1.3</w:t>
      </w:r>
      <w:r w:rsidRPr="003D0262">
        <w:rPr>
          <w:rFonts w:ascii="Times New Roman" w:hAnsi="Times New Roman" w:hint="eastAsia"/>
          <w:b/>
          <w:szCs w:val="21"/>
        </w:rPr>
        <w:t>乙醇治疗</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大脑中动脉闭塞</w:t>
      </w:r>
      <w:r w:rsidRPr="003D0262">
        <w:rPr>
          <w:rFonts w:ascii="Times New Roman" w:hAnsi="Times New Roman" w:hint="eastAsia"/>
          <w:szCs w:val="21"/>
        </w:rPr>
        <w:t>2h</w:t>
      </w:r>
      <w:r w:rsidRPr="003D0262">
        <w:rPr>
          <w:rFonts w:ascii="Times New Roman" w:hAnsi="Times New Roman" w:hint="eastAsia"/>
          <w:szCs w:val="21"/>
        </w:rPr>
        <w:t>后再灌注开始时，缺血大鼠腹腔内注射乙醇（</w:t>
      </w:r>
      <w:r w:rsidRPr="003D0262">
        <w:rPr>
          <w:rFonts w:ascii="Times New Roman" w:hAnsi="Times New Roman" w:hint="eastAsia"/>
          <w:szCs w:val="21"/>
        </w:rPr>
        <w:t>1.0g/kg</w:t>
      </w:r>
      <w:r w:rsidRPr="003D0262">
        <w:rPr>
          <w:rFonts w:ascii="Times New Roman" w:hAnsi="Times New Roman" w:hint="eastAsia"/>
          <w:szCs w:val="21"/>
        </w:rPr>
        <w:t>稀释到</w:t>
      </w:r>
      <w:r w:rsidRPr="003D0262">
        <w:rPr>
          <w:rFonts w:ascii="Times New Roman" w:hAnsi="Times New Roman" w:hint="eastAsia"/>
          <w:szCs w:val="21"/>
        </w:rPr>
        <w:t>3.0ml</w:t>
      </w:r>
      <w:r w:rsidRPr="003D0262">
        <w:rPr>
          <w:rFonts w:ascii="Times New Roman" w:hAnsi="Times New Roman" w:hint="eastAsia"/>
          <w:szCs w:val="21"/>
        </w:rPr>
        <w:t>生理盐水中）。乙醇的用量是根据我们之前</w:t>
      </w:r>
      <w:r>
        <w:rPr>
          <w:rFonts w:ascii="Times New Roman" w:hAnsi="Times New Roman" w:hint="eastAsia"/>
          <w:szCs w:val="21"/>
        </w:rPr>
        <w:t>[2]</w:t>
      </w:r>
      <w:r w:rsidRPr="003D0262">
        <w:rPr>
          <w:rFonts w:ascii="Times New Roman" w:hAnsi="Times New Roman" w:hint="eastAsia"/>
          <w:szCs w:val="21"/>
        </w:rPr>
        <w:t>乙醇对脑缺血大鼠的神经保护效应的研究而选择的</w:t>
      </w:r>
      <w:r w:rsidRPr="003D0262">
        <w:rPr>
          <w:rFonts w:ascii="Times New Roman" w:hAnsi="Times New Roman" w:hint="eastAsia"/>
          <w:szCs w:val="21"/>
        </w:rPr>
        <w:t>,</w:t>
      </w:r>
      <w:r w:rsidRPr="003D0262">
        <w:rPr>
          <w:rFonts w:ascii="Times New Roman" w:hAnsi="Times New Roman" w:hint="eastAsia"/>
          <w:szCs w:val="21"/>
        </w:rPr>
        <w:t>研究中</w:t>
      </w:r>
      <w:r w:rsidRPr="003D0262">
        <w:rPr>
          <w:rFonts w:ascii="Times New Roman" w:hAnsi="Times New Roman" w:hint="eastAsia"/>
          <w:szCs w:val="21"/>
        </w:rPr>
        <w:t>1.0g/kg</w:t>
      </w:r>
      <w:r w:rsidRPr="003D0262">
        <w:rPr>
          <w:rFonts w:ascii="Times New Roman" w:hAnsi="Times New Roman" w:hint="eastAsia"/>
          <w:szCs w:val="21"/>
        </w:rPr>
        <w:t>乙醇是可提供神经保护的最底限剂量。</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1.4</w:t>
      </w:r>
      <w:r w:rsidRPr="003D0262">
        <w:rPr>
          <w:rFonts w:ascii="Times New Roman" w:hAnsi="Times New Roman" w:hint="eastAsia"/>
          <w:b/>
          <w:szCs w:val="21"/>
        </w:rPr>
        <w:t>常压氧和乙醇的联合治疗</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再灌注开始时，缺血大鼠先接受腹腔内注射乙醇（</w:t>
      </w:r>
      <w:r w:rsidRPr="003D0262">
        <w:rPr>
          <w:rFonts w:ascii="Times New Roman" w:hAnsi="Times New Roman" w:hint="eastAsia"/>
          <w:szCs w:val="21"/>
        </w:rPr>
        <w:t>1.0g/kg</w:t>
      </w:r>
      <w:r w:rsidRPr="003D0262">
        <w:rPr>
          <w:rFonts w:ascii="Times New Roman" w:hAnsi="Times New Roman" w:hint="eastAsia"/>
          <w:szCs w:val="21"/>
        </w:rPr>
        <w:t>稀释到</w:t>
      </w:r>
      <w:r w:rsidRPr="003D0262">
        <w:rPr>
          <w:rFonts w:ascii="Times New Roman" w:hAnsi="Times New Roman" w:hint="eastAsia"/>
          <w:szCs w:val="21"/>
        </w:rPr>
        <w:t>3.0ml</w:t>
      </w:r>
      <w:r w:rsidRPr="003D0262">
        <w:rPr>
          <w:rFonts w:ascii="Times New Roman" w:hAnsi="Times New Roman" w:hint="eastAsia"/>
          <w:szCs w:val="21"/>
        </w:rPr>
        <w:t>生理盐水中），然后放进充满</w:t>
      </w:r>
      <w:r w:rsidRPr="003D0262">
        <w:rPr>
          <w:rFonts w:ascii="Times New Roman" w:hAnsi="Times New Roman" w:hint="eastAsia"/>
          <w:szCs w:val="21"/>
        </w:rPr>
        <w:t>95%</w:t>
      </w:r>
      <w:r w:rsidRPr="003D0262">
        <w:rPr>
          <w:rFonts w:ascii="Times New Roman" w:hAnsi="Times New Roman" w:hint="eastAsia"/>
          <w:szCs w:val="21"/>
        </w:rPr>
        <w:t>氧气的密闭室中接受常压氧治疗</w:t>
      </w:r>
      <w:r w:rsidRPr="003D0262">
        <w:rPr>
          <w:rFonts w:ascii="Times New Roman" w:hAnsi="Times New Roman" w:hint="eastAsia"/>
          <w:szCs w:val="21"/>
        </w:rPr>
        <w:t>2</w:t>
      </w:r>
      <w:r w:rsidRPr="003D0262">
        <w:rPr>
          <w:rFonts w:ascii="Times New Roman" w:hAnsi="Times New Roman" w:hint="eastAsia"/>
          <w:szCs w:val="21"/>
        </w:rPr>
        <w:t>小时。</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1.5</w:t>
      </w:r>
      <w:r w:rsidRPr="003D0262">
        <w:rPr>
          <w:rFonts w:ascii="Times New Roman" w:hAnsi="Times New Roman" w:hint="eastAsia"/>
          <w:b/>
          <w:szCs w:val="21"/>
        </w:rPr>
        <w:t>脑梗死体积</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再灌注</w:t>
      </w:r>
      <w:r>
        <w:rPr>
          <w:rFonts w:ascii="Times New Roman" w:hAnsi="Times New Roman" w:hint="eastAsia"/>
          <w:szCs w:val="21"/>
        </w:rPr>
        <w:t>48</w:t>
      </w:r>
      <w:r>
        <w:rPr>
          <w:rFonts w:ascii="Times New Roman" w:hAnsi="Times New Roman" w:hint="eastAsia"/>
          <w:szCs w:val="21"/>
        </w:rPr>
        <w:t>小时</w:t>
      </w:r>
      <w:r w:rsidRPr="003D0262">
        <w:rPr>
          <w:rFonts w:ascii="Times New Roman" w:hAnsi="Times New Roman" w:hint="eastAsia"/>
          <w:szCs w:val="21"/>
        </w:rPr>
        <w:t>后，取出缺血大鼠的脑组织，并切成</w:t>
      </w:r>
      <w:r w:rsidRPr="003D0262">
        <w:rPr>
          <w:rFonts w:ascii="Times New Roman" w:hAnsi="Times New Roman" w:hint="eastAsia"/>
          <w:szCs w:val="21"/>
        </w:rPr>
        <w:t>2mm</w:t>
      </w:r>
      <w:r w:rsidRPr="003D0262">
        <w:rPr>
          <w:rFonts w:ascii="Times New Roman" w:hAnsi="Times New Roman" w:hint="eastAsia"/>
          <w:szCs w:val="21"/>
        </w:rPr>
        <w:t>厚的冠状切片，行三苯基氯</w:t>
      </w:r>
      <w:r w:rsidRPr="003D0262">
        <w:rPr>
          <w:rFonts w:ascii="Times New Roman" w:hAnsi="Times New Roman" w:hint="eastAsia"/>
          <w:szCs w:val="21"/>
        </w:rPr>
        <w:lastRenderedPageBreak/>
        <w:t>化四氮唑（</w:t>
      </w:r>
      <w:r w:rsidRPr="003D0262">
        <w:rPr>
          <w:rFonts w:ascii="Times New Roman" w:hAnsi="Times New Roman" w:hint="eastAsia"/>
          <w:szCs w:val="21"/>
        </w:rPr>
        <w:t>TTC</w:t>
      </w:r>
      <w:r w:rsidRPr="003D0262">
        <w:rPr>
          <w:rFonts w:ascii="Times New Roman" w:hAnsi="Times New Roman" w:hint="eastAsia"/>
          <w:szCs w:val="21"/>
        </w:rPr>
        <w:t>）处理着色。为了尽量减少错误，通过把梗死体积作为总同侧大脑体积的百分比这种间接方法计算大脑梗死体积。</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1.6</w:t>
      </w:r>
      <w:r w:rsidRPr="003D0262">
        <w:rPr>
          <w:rFonts w:ascii="Times New Roman" w:hAnsi="Times New Roman" w:hint="eastAsia"/>
          <w:b/>
          <w:szCs w:val="21"/>
        </w:rPr>
        <w:t>神经</w:t>
      </w:r>
      <w:r>
        <w:rPr>
          <w:rFonts w:ascii="Times New Roman" w:hAnsi="Times New Roman" w:hint="eastAsia"/>
          <w:b/>
          <w:szCs w:val="21"/>
        </w:rPr>
        <w:t>功能评价</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在实验前，在</w:t>
      </w:r>
      <w:r w:rsidRPr="003D0262">
        <w:rPr>
          <w:rFonts w:ascii="Times New Roman" w:hAnsi="Times New Roman" w:hint="eastAsia"/>
          <w:szCs w:val="21"/>
        </w:rPr>
        <w:t>MCAO</w:t>
      </w:r>
      <w:r w:rsidRPr="003D0262">
        <w:rPr>
          <w:rFonts w:ascii="Times New Roman" w:hAnsi="Times New Roman" w:hint="eastAsia"/>
          <w:szCs w:val="21"/>
        </w:rPr>
        <w:t>后</w:t>
      </w:r>
      <w:r w:rsidRPr="003D0262">
        <w:rPr>
          <w:rFonts w:ascii="Times New Roman" w:hAnsi="Times New Roman" w:hint="eastAsia"/>
          <w:szCs w:val="21"/>
        </w:rPr>
        <w:t>2</w:t>
      </w:r>
      <w:r w:rsidRPr="003D0262">
        <w:rPr>
          <w:rFonts w:ascii="Times New Roman" w:hAnsi="Times New Roman" w:hint="eastAsia"/>
          <w:szCs w:val="21"/>
        </w:rPr>
        <w:t>小时，在再灌注后</w:t>
      </w:r>
      <w:r w:rsidRPr="003D0262">
        <w:rPr>
          <w:rFonts w:ascii="Times New Roman" w:hAnsi="Times New Roman" w:hint="eastAsia"/>
          <w:szCs w:val="21"/>
        </w:rPr>
        <w:t>48</w:t>
      </w:r>
      <w:r w:rsidRPr="003D0262">
        <w:rPr>
          <w:rFonts w:ascii="Times New Roman" w:hAnsi="Times New Roman" w:hint="eastAsia"/>
          <w:szCs w:val="21"/>
        </w:rPr>
        <w:t>小时分别根据</w:t>
      </w:r>
      <w:r w:rsidRPr="003D0262">
        <w:rPr>
          <w:rFonts w:ascii="Times New Roman" w:hAnsi="Times New Roman" w:hint="eastAsia"/>
          <w:szCs w:val="21"/>
        </w:rPr>
        <w:t>Belayev</w:t>
      </w:r>
      <w:r w:rsidRPr="003D0262">
        <w:rPr>
          <w:rFonts w:ascii="Times New Roman" w:hAnsi="Times New Roman" w:hint="eastAsia"/>
          <w:szCs w:val="21"/>
        </w:rPr>
        <w:t>的神经行为评分系统</w:t>
      </w:r>
      <w:r>
        <w:rPr>
          <w:rFonts w:ascii="Times New Roman" w:hAnsi="Times New Roman" w:hint="eastAsia"/>
          <w:szCs w:val="21"/>
        </w:rPr>
        <w:t>[3]</w:t>
      </w:r>
      <w:r w:rsidRPr="003D0262">
        <w:rPr>
          <w:rFonts w:ascii="Times New Roman" w:hAnsi="Times New Roman" w:hint="eastAsia"/>
          <w:szCs w:val="21"/>
        </w:rPr>
        <w:t>对大鼠进行了评分</w:t>
      </w:r>
      <w:r w:rsidRPr="003D0262">
        <w:rPr>
          <w:rFonts w:ascii="Times New Roman" w:hAnsi="Times New Roman" w:hint="eastAsia"/>
          <w:szCs w:val="21"/>
        </w:rPr>
        <w:t xml:space="preserve"> </w:t>
      </w:r>
      <w:r w:rsidRPr="003D0262">
        <w:rPr>
          <w:rFonts w:ascii="Times New Roman" w:hAnsi="Times New Roman" w:hint="eastAsia"/>
          <w:szCs w:val="21"/>
        </w:rPr>
        <w:t>。分数越高越表明损伤</w:t>
      </w:r>
      <w:r>
        <w:rPr>
          <w:rFonts w:ascii="Times New Roman" w:hAnsi="Times New Roman" w:hint="eastAsia"/>
          <w:szCs w:val="21"/>
        </w:rPr>
        <w:t>越</w:t>
      </w:r>
      <w:r w:rsidRPr="003D0262">
        <w:rPr>
          <w:rFonts w:ascii="Times New Roman" w:hAnsi="Times New Roman" w:hint="eastAsia"/>
          <w:szCs w:val="21"/>
        </w:rPr>
        <w:t>严重。</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1.7</w:t>
      </w:r>
      <w:r w:rsidRPr="003D0262">
        <w:rPr>
          <w:rFonts w:ascii="Times New Roman" w:hAnsi="Times New Roman" w:hint="eastAsia"/>
          <w:b/>
          <w:szCs w:val="21"/>
        </w:rPr>
        <w:t>ADP/ATP</w:t>
      </w:r>
      <w:r w:rsidRPr="003D0262">
        <w:rPr>
          <w:rFonts w:ascii="Times New Roman" w:hAnsi="Times New Roman" w:hint="eastAsia"/>
          <w:b/>
          <w:szCs w:val="21"/>
        </w:rPr>
        <w:t>比率的分析</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我们使用</w:t>
      </w:r>
      <w:r w:rsidRPr="003D0262">
        <w:rPr>
          <w:rFonts w:ascii="Times New Roman" w:hAnsi="Times New Roman" w:hint="eastAsia"/>
          <w:szCs w:val="21"/>
        </w:rPr>
        <w:t>BioVision</w:t>
      </w:r>
      <w:r w:rsidRPr="003D0262">
        <w:rPr>
          <w:rFonts w:ascii="Times New Roman" w:hAnsi="Times New Roman" w:hint="eastAsia"/>
          <w:szCs w:val="21"/>
        </w:rPr>
        <w:t>测定试剂盒测定</w:t>
      </w:r>
      <w:r w:rsidRPr="003D0262">
        <w:rPr>
          <w:rFonts w:ascii="Times New Roman" w:hAnsi="Times New Roman" w:hint="eastAsia"/>
          <w:szCs w:val="21"/>
        </w:rPr>
        <w:t>ADP/ ATP</w:t>
      </w:r>
      <w:r w:rsidRPr="003D0262">
        <w:rPr>
          <w:rFonts w:ascii="Times New Roman" w:hAnsi="Times New Roman" w:hint="eastAsia"/>
          <w:szCs w:val="21"/>
        </w:rPr>
        <w:t>比值。通过</w:t>
      </w:r>
      <w:r w:rsidRPr="003D0262">
        <w:rPr>
          <w:rFonts w:ascii="Times New Roman" w:hAnsi="Times New Roman" w:hint="eastAsia"/>
          <w:szCs w:val="21"/>
        </w:rPr>
        <w:t>DTX-880</w:t>
      </w:r>
      <w:r w:rsidRPr="003D0262">
        <w:rPr>
          <w:rFonts w:ascii="Times New Roman" w:hAnsi="Times New Roman" w:hint="eastAsia"/>
          <w:szCs w:val="21"/>
        </w:rPr>
        <w:t>多模检测器，检测出</w:t>
      </w:r>
      <w:r w:rsidRPr="003D0262">
        <w:rPr>
          <w:rFonts w:ascii="Times New Roman" w:hAnsi="Times New Roman" w:hint="eastAsia"/>
          <w:szCs w:val="21"/>
        </w:rPr>
        <w:t>ATP</w:t>
      </w:r>
      <w:r w:rsidRPr="003D0262">
        <w:rPr>
          <w:rFonts w:ascii="Times New Roman" w:hAnsi="Times New Roman" w:hint="eastAsia"/>
          <w:szCs w:val="21"/>
        </w:rPr>
        <w:t>和</w:t>
      </w:r>
      <w:r w:rsidRPr="003D0262">
        <w:rPr>
          <w:rFonts w:ascii="Times New Roman" w:hAnsi="Times New Roman" w:hint="eastAsia"/>
          <w:szCs w:val="21"/>
        </w:rPr>
        <w:t>ADP</w:t>
      </w:r>
      <w:r w:rsidRPr="003D0262">
        <w:rPr>
          <w:rFonts w:ascii="Times New Roman" w:hAnsi="Times New Roman" w:hint="eastAsia"/>
          <w:szCs w:val="21"/>
        </w:rPr>
        <w:t>水平，</w:t>
      </w:r>
      <w:r w:rsidRPr="003D0262">
        <w:rPr>
          <w:rFonts w:ascii="Times New Roman" w:hAnsi="Times New Roman" w:hint="eastAsia"/>
          <w:szCs w:val="21"/>
        </w:rPr>
        <w:t xml:space="preserve"> </w:t>
      </w:r>
      <w:r w:rsidRPr="003D0262">
        <w:rPr>
          <w:rFonts w:ascii="Times New Roman" w:hAnsi="Times New Roman" w:hint="eastAsia"/>
          <w:szCs w:val="21"/>
        </w:rPr>
        <w:t>随后计算</w:t>
      </w:r>
      <w:r w:rsidRPr="003D0262">
        <w:rPr>
          <w:rFonts w:ascii="Times New Roman" w:hAnsi="Times New Roman" w:hint="eastAsia"/>
          <w:szCs w:val="21"/>
        </w:rPr>
        <w:t>ADP/ATP</w:t>
      </w:r>
      <w:r w:rsidRPr="003D0262">
        <w:rPr>
          <w:rFonts w:ascii="Times New Roman" w:hAnsi="Times New Roman" w:hint="eastAsia"/>
          <w:szCs w:val="21"/>
        </w:rPr>
        <w:t>的比率</w:t>
      </w:r>
      <w:r>
        <w:rPr>
          <w:rFonts w:ascii="Times New Roman" w:hAnsi="Times New Roman" w:hint="eastAsia"/>
          <w:szCs w:val="21"/>
        </w:rPr>
        <w:t>[4]</w:t>
      </w:r>
      <w:r w:rsidRPr="003D0262">
        <w:rPr>
          <w:rFonts w:ascii="Times New Roman" w:hAnsi="Times New Roman" w:hint="eastAsia"/>
          <w:szCs w:val="21"/>
        </w:rPr>
        <w:t>。</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1.8</w:t>
      </w:r>
      <w:r w:rsidRPr="003D0262">
        <w:rPr>
          <w:rFonts w:ascii="Times New Roman" w:hAnsi="Times New Roman" w:hint="eastAsia"/>
          <w:b/>
          <w:szCs w:val="21"/>
        </w:rPr>
        <w:t>自由基（</w:t>
      </w:r>
      <w:r w:rsidRPr="003D0262">
        <w:rPr>
          <w:rFonts w:ascii="Times New Roman" w:hAnsi="Times New Roman" w:hint="eastAsia"/>
          <w:b/>
          <w:szCs w:val="21"/>
        </w:rPr>
        <w:t>ROS</w:t>
      </w:r>
      <w:r w:rsidRPr="003D0262">
        <w:rPr>
          <w:rFonts w:ascii="Times New Roman" w:hAnsi="Times New Roman" w:hint="eastAsia"/>
          <w:b/>
          <w:szCs w:val="21"/>
        </w:rPr>
        <w:t>）测量</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通过测定与荧光化合物相连的过氧化氢酶的</w:t>
      </w:r>
      <w:r w:rsidRPr="003D0262">
        <w:rPr>
          <w:rFonts w:ascii="Times New Roman" w:hAnsi="Times New Roman" w:hint="eastAsia"/>
          <w:szCs w:val="21"/>
        </w:rPr>
        <w:t>H2O2</w:t>
      </w:r>
      <w:r w:rsidRPr="003D0262">
        <w:rPr>
          <w:rFonts w:ascii="Times New Roman" w:hAnsi="Times New Roman" w:hint="eastAsia"/>
          <w:szCs w:val="21"/>
        </w:rPr>
        <w:t>水平检测</w:t>
      </w:r>
      <w:r w:rsidRPr="003D0262">
        <w:rPr>
          <w:rFonts w:ascii="Times New Roman" w:hAnsi="Times New Roman" w:hint="eastAsia"/>
          <w:szCs w:val="21"/>
        </w:rPr>
        <w:t>ROS</w:t>
      </w:r>
      <w:r>
        <w:rPr>
          <w:rFonts w:ascii="Times New Roman" w:hAnsi="Times New Roman" w:hint="eastAsia"/>
          <w:szCs w:val="21"/>
        </w:rPr>
        <w:t>[5]</w:t>
      </w:r>
      <w:r w:rsidRPr="003D0262">
        <w:rPr>
          <w:rFonts w:ascii="Times New Roman" w:hAnsi="Times New Roman" w:hint="eastAsia"/>
          <w:szCs w:val="21"/>
        </w:rPr>
        <w:t>。基于蛋白质浓度</w:t>
      </w:r>
      <w:r w:rsidRPr="003D0262">
        <w:rPr>
          <w:rFonts w:ascii="Times New Roman" w:hAnsi="Times New Roman" w:hint="eastAsia"/>
          <w:szCs w:val="21"/>
        </w:rPr>
        <w:t>bicinchonic</w:t>
      </w:r>
      <w:r w:rsidRPr="003D0262">
        <w:rPr>
          <w:rFonts w:ascii="Times New Roman" w:hAnsi="Times New Roman" w:hint="eastAsia"/>
          <w:szCs w:val="21"/>
        </w:rPr>
        <w:t>酸</w:t>
      </w:r>
      <w:r w:rsidRPr="003D0262">
        <w:rPr>
          <w:rFonts w:ascii="Times New Roman" w:hAnsi="Times New Roman" w:hint="eastAsia"/>
          <w:szCs w:val="21"/>
        </w:rPr>
        <w:t>BCA</w:t>
      </w:r>
      <w:r w:rsidRPr="003D0262">
        <w:rPr>
          <w:rFonts w:ascii="Times New Roman" w:hAnsi="Times New Roman" w:hint="eastAsia"/>
          <w:szCs w:val="21"/>
        </w:rPr>
        <w:t>法从动物取脑匀浆样品稀释至</w:t>
      </w:r>
      <w:r w:rsidRPr="003D0262">
        <w:rPr>
          <w:rFonts w:ascii="Times New Roman" w:hAnsi="Times New Roman" w:hint="eastAsia"/>
          <w:szCs w:val="21"/>
        </w:rPr>
        <w:t>10mg/mL</w:t>
      </w:r>
      <w:r w:rsidRPr="003D0262">
        <w:rPr>
          <w:rFonts w:ascii="Times New Roman" w:hAnsi="Times New Roman" w:hint="eastAsia"/>
          <w:szCs w:val="21"/>
        </w:rPr>
        <w:t>。孵化</w:t>
      </w:r>
      <w:r w:rsidRPr="003D0262">
        <w:rPr>
          <w:rFonts w:ascii="Times New Roman" w:hAnsi="Times New Roman" w:hint="eastAsia"/>
          <w:szCs w:val="21"/>
        </w:rPr>
        <w:t>30</w:t>
      </w:r>
      <w:r w:rsidRPr="003D0262">
        <w:rPr>
          <w:rFonts w:ascii="Times New Roman" w:hAnsi="Times New Roman" w:hint="eastAsia"/>
          <w:szCs w:val="21"/>
        </w:rPr>
        <w:t>分钟后，脑匀浆中</w:t>
      </w:r>
      <w:r w:rsidRPr="003D0262">
        <w:rPr>
          <w:rFonts w:ascii="Times New Roman" w:hAnsi="Times New Roman" w:hint="eastAsia"/>
          <w:szCs w:val="21"/>
        </w:rPr>
        <w:t>H2O2</w:t>
      </w:r>
      <w:r w:rsidRPr="003D0262">
        <w:rPr>
          <w:rFonts w:ascii="Times New Roman" w:hAnsi="Times New Roman" w:hint="eastAsia"/>
          <w:szCs w:val="21"/>
        </w:rPr>
        <w:t>用</w:t>
      </w:r>
      <w:r w:rsidRPr="003D0262">
        <w:rPr>
          <w:rFonts w:ascii="Times New Roman" w:hAnsi="Times New Roman" w:hint="eastAsia"/>
          <w:szCs w:val="21"/>
        </w:rPr>
        <w:t>50</w:t>
      </w:r>
      <w:r w:rsidRPr="003D0262">
        <w:rPr>
          <w:rFonts w:ascii="Times New Roman" w:hAnsi="Times New Roman" w:hint="eastAsia"/>
          <w:szCs w:val="21"/>
        </w:rPr>
        <w:t>μ</w:t>
      </w:r>
      <w:r w:rsidRPr="003D0262">
        <w:rPr>
          <w:rFonts w:ascii="Times New Roman" w:hAnsi="Times New Roman" w:hint="eastAsia"/>
          <w:szCs w:val="21"/>
        </w:rPr>
        <w:t>mol/L</w:t>
      </w:r>
      <w:r w:rsidRPr="003D0262">
        <w:rPr>
          <w:rFonts w:ascii="Times New Roman" w:hAnsi="Times New Roman" w:hint="eastAsia"/>
          <w:szCs w:val="21"/>
        </w:rPr>
        <w:t>的的荧光试剂，</w:t>
      </w:r>
      <w:r w:rsidRPr="003D0262">
        <w:rPr>
          <w:rFonts w:ascii="Times New Roman" w:hAnsi="Times New Roman" w:hint="eastAsia"/>
          <w:szCs w:val="21"/>
        </w:rPr>
        <w:t>0.1U/mL</w:t>
      </w:r>
      <w:r w:rsidRPr="003D0262">
        <w:rPr>
          <w:rFonts w:ascii="Times New Roman" w:hAnsi="Times New Roman" w:hint="eastAsia"/>
          <w:szCs w:val="21"/>
        </w:rPr>
        <w:t>的辣根过氧化物酶和呼吸底物（</w:t>
      </w:r>
      <w:r w:rsidRPr="003D0262">
        <w:rPr>
          <w:rFonts w:ascii="Times New Roman" w:hAnsi="Times New Roman" w:hint="eastAsia"/>
          <w:szCs w:val="21"/>
        </w:rPr>
        <w:t>4mmol/L</w:t>
      </w:r>
      <w:r w:rsidRPr="003D0262">
        <w:rPr>
          <w:rFonts w:ascii="Times New Roman" w:hAnsi="Times New Roman" w:hint="eastAsia"/>
          <w:szCs w:val="21"/>
        </w:rPr>
        <w:t>的丙酮酸盐，</w:t>
      </w:r>
      <w:r w:rsidRPr="003D0262">
        <w:rPr>
          <w:rFonts w:ascii="Times New Roman" w:hAnsi="Times New Roman" w:hint="eastAsia"/>
          <w:szCs w:val="21"/>
        </w:rPr>
        <w:t>2mmol/L</w:t>
      </w:r>
      <w:r w:rsidRPr="003D0262">
        <w:rPr>
          <w:rFonts w:ascii="Times New Roman" w:hAnsi="Times New Roman" w:hint="eastAsia"/>
          <w:szCs w:val="21"/>
        </w:rPr>
        <w:t>的苹果酸，</w:t>
      </w:r>
      <w:r w:rsidRPr="003D0262">
        <w:rPr>
          <w:rFonts w:ascii="Times New Roman" w:hAnsi="Times New Roman" w:hint="eastAsia"/>
          <w:szCs w:val="21"/>
        </w:rPr>
        <w:t>2mmol/L</w:t>
      </w:r>
      <w:r w:rsidRPr="003D0262">
        <w:rPr>
          <w:rFonts w:ascii="Times New Roman" w:hAnsi="Times New Roman" w:hint="eastAsia"/>
          <w:szCs w:val="21"/>
        </w:rPr>
        <w:t>的谷氨酸盐，和</w:t>
      </w:r>
      <w:r w:rsidRPr="003D0262">
        <w:rPr>
          <w:rFonts w:ascii="Times New Roman" w:hAnsi="Times New Roman" w:hint="eastAsia"/>
          <w:szCs w:val="21"/>
        </w:rPr>
        <w:t>0.8mmol/L</w:t>
      </w:r>
      <w:r w:rsidRPr="003D0262">
        <w:rPr>
          <w:rFonts w:ascii="Times New Roman" w:hAnsi="Times New Roman" w:hint="eastAsia"/>
          <w:szCs w:val="21"/>
        </w:rPr>
        <w:t>的抑制剂寡霉素）在</w:t>
      </w:r>
      <w:r w:rsidRPr="003D0262">
        <w:rPr>
          <w:rFonts w:ascii="Times New Roman" w:hAnsi="Times New Roman" w:hint="eastAsia"/>
          <w:szCs w:val="21"/>
        </w:rPr>
        <w:t>37</w:t>
      </w:r>
      <w:r w:rsidRPr="003D0262">
        <w:rPr>
          <w:rFonts w:ascii="Times New Roman" w:hAnsi="Times New Roman" w:hint="eastAsia"/>
          <w:szCs w:val="21"/>
        </w:rPr>
        <w:t>°</w:t>
      </w:r>
      <w:r w:rsidRPr="003D0262">
        <w:rPr>
          <w:rFonts w:ascii="Times New Roman" w:hAnsi="Times New Roman" w:hint="eastAsia"/>
          <w:szCs w:val="21"/>
        </w:rPr>
        <w:t>C</w:t>
      </w:r>
      <w:r w:rsidRPr="003D0262">
        <w:rPr>
          <w:rFonts w:ascii="Times New Roman" w:hAnsi="Times New Roman" w:hint="eastAsia"/>
          <w:szCs w:val="21"/>
        </w:rPr>
        <w:t>时的通过</w:t>
      </w:r>
      <w:r w:rsidRPr="003D0262">
        <w:rPr>
          <w:rFonts w:ascii="Times New Roman" w:hAnsi="Times New Roman" w:hint="eastAsia"/>
          <w:szCs w:val="21"/>
        </w:rPr>
        <w:t>DTX-880</w:t>
      </w:r>
      <w:r w:rsidRPr="003D0262">
        <w:rPr>
          <w:rFonts w:ascii="Times New Roman" w:hAnsi="Times New Roman" w:hint="eastAsia"/>
          <w:szCs w:val="21"/>
        </w:rPr>
        <w:t>多模检测确定。</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1.9</w:t>
      </w:r>
      <w:r w:rsidRPr="003D0262">
        <w:rPr>
          <w:rFonts w:ascii="Times New Roman" w:hAnsi="Times New Roman" w:hint="eastAsia"/>
          <w:b/>
          <w:szCs w:val="21"/>
        </w:rPr>
        <w:t>烟酰胺腺嘌呤二核苷酸磷酸氧化酶（</w:t>
      </w:r>
      <w:r w:rsidRPr="003D0262">
        <w:rPr>
          <w:rFonts w:ascii="Times New Roman" w:hAnsi="Times New Roman" w:hint="eastAsia"/>
          <w:b/>
          <w:szCs w:val="21"/>
        </w:rPr>
        <w:t>NOX</w:t>
      </w:r>
      <w:r w:rsidRPr="003D0262">
        <w:rPr>
          <w:rFonts w:ascii="Times New Roman" w:hAnsi="Times New Roman" w:hint="eastAsia"/>
          <w:b/>
          <w:szCs w:val="21"/>
        </w:rPr>
        <w:t>）活性测量</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NOX</w:t>
      </w:r>
      <w:r w:rsidRPr="003D0262">
        <w:rPr>
          <w:rFonts w:ascii="Times New Roman" w:hAnsi="Times New Roman" w:hint="eastAsia"/>
          <w:szCs w:val="21"/>
        </w:rPr>
        <w:t>活性测定如先前描述的</w:t>
      </w:r>
      <w:r>
        <w:rPr>
          <w:rFonts w:ascii="Times New Roman" w:hAnsi="Times New Roman" w:hint="eastAsia"/>
          <w:szCs w:val="21"/>
        </w:rPr>
        <w:t>[6]</w:t>
      </w:r>
      <w:r w:rsidRPr="003D0262">
        <w:rPr>
          <w:rFonts w:ascii="Times New Roman" w:hAnsi="Times New Roman" w:hint="eastAsia"/>
          <w:szCs w:val="21"/>
        </w:rPr>
        <w:t>。脑匀浆样品含有苯甲基磺酰氟和鸡尾酒一蛋白酶抑制剂（</w:t>
      </w:r>
      <w:r w:rsidRPr="003D0262">
        <w:rPr>
          <w:rFonts w:ascii="Times New Roman" w:hAnsi="Times New Roman" w:hint="eastAsia"/>
          <w:szCs w:val="21"/>
        </w:rPr>
        <w:t>Thermo;20</w:t>
      </w:r>
      <w:r w:rsidRPr="003D0262">
        <w:rPr>
          <w:rFonts w:ascii="Times New Roman" w:hAnsi="Times New Roman" w:hint="eastAsia"/>
          <w:szCs w:val="21"/>
        </w:rPr>
        <w:t>μ</w:t>
      </w:r>
      <w:r w:rsidRPr="003D0262">
        <w:rPr>
          <w:rFonts w:ascii="Times New Roman" w:hAnsi="Times New Roman" w:hint="eastAsia"/>
          <w:szCs w:val="21"/>
        </w:rPr>
        <w:t>L</w:t>
      </w:r>
      <w:r w:rsidRPr="003D0262">
        <w:rPr>
          <w:rFonts w:ascii="Times New Roman" w:hAnsi="Times New Roman" w:hint="eastAsia"/>
          <w:szCs w:val="21"/>
        </w:rPr>
        <w:t>）加入到含</w:t>
      </w:r>
      <w:r w:rsidRPr="003D0262">
        <w:rPr>
          <w:rFonts w:ascii="Times New Roman" w:hAnsi="Times New Roman" w:hint="eastAsia"/>
          <w:szCs w:val="21"/>
        </w:rPr>
        <w:t>6.25</w:t>
      </w:r>
      <w:r w:rsidRPr="003D0262">
        <w:rPr>
          <w:rFonts w:ascii="Times New Roman" w:hAnsi="Times New Roman" w:hint="eastAsia"/>
          <w:szCs w:val="21"/>
        </w:rPr>
        <w:t>μ</w:t>
      </w:r>
      <w:r w:rsidRPr="003D0262">
        <w:rPr>
          <w:rFonts w:ascii="Times New Roman" w:hAnsi="Times New Roman" w:hint="eastAsia"/>
          <w:szCs w:val="21"/>
        </w:rPr>
        <w:t>mol/ L</w:t>
      </w:r>
      <w:r w:rsidRPr="003D0262">
        <w:rPr>
          <w:rFonts w:ascii="Times New Roman" w:hAnsi="Times New Roman" w:hint="eastAsia"/>
          <w:szCs w:val="21"/>
        </w:rPr>
        <w:t>的光泽精的</w:t>
      </w:r>
      <w:r>
        <w:rPr>
          <w:rFonts w:ascii="Times New Roman" w:hAnsi="Times New Roman" w:hint="eastAsia"/>
          <w:szCs w:val="21"/>
        </w:rPr>
        <w:t>96</w:t>
      </w:r>
      <w:r w:rsidRPr="003D0262">
        <w:rPr>
          <w:rFonts w:ascii="Times New Roman" w:hAnsi="Times New Roman" w:hint="eastAsia"/>
          <w:szCs w:val="21"/>
        </w:rPr>
        <w:t>孔荧光板。该反应从添加烟酰胺腺嘌呤二核苷酸的磷酸（</w:t>
      </w:r>
      <w:r w:rsidRPr="003D0262">
        <w:rPr>
          <w:rFonts w:ascii="Times New Roman" w:hAnsi="Times New Roman" w:hint="eastAsia"/>
          <w:szCs w:val="21"/>
        </w:rPr>
        <w:t>100</w:t>
      </w:r>
      <w:r w:rsidRPr="003D0262">
        <w:rPr>
          <w:rFonts w:ascii="Times New Roman" w:hAnsi="Times New Roman" w:hint="eastAsia"/>
          <w:szCs w:val="21"/>
        </w:rPr>
        <w:t>μ</w:t>
      </w:r>
      <w:r w:rsidRPr="003D0262">
        <w:rPr>
          <w:rFonts w:ascii="Times New Roman" w:hAnsi="Times New Roman" w:hint="eastAsia"/>
          <w:szCs w:val="21"/>
        </w:rPr>
        <w:t>mol/L</w:t>
      </w:r>
      <w:r w:rsidRPr="003D0262">
        <w:rPr>
          <w:rFonts w:ascii="Times New Roman" w:hAnsi="Times New Roman" w:hint="eastAsia"/>
          <w:szCs w:val="21"/>
        </w:rPr>
        <w:t>）开始。通过</w:t>
      </w:r>
      <w:r w:rsidRPr="003D0262">
        <w:rPr>
          <w:rFonts w:ascii="Times New Roman" w:hAnsi="Times New Roman" w:hint="eastAsia"/>
          <w:szCs w:val="21"/>
        </w:rPr>
        <w:t>DTX-880</w:t>
      </w:r>
      <w:r w:rsidRPr="003D0262">
        <w:rPr>
          <w:rFonts w:ascii="Times New Roman" w:hAnsi="Times New Roman" w:hint="eastAsia"/>
          <w:szCs w:val="21"/>
        </w:rPr>
        <w:t>多模探测器记录的荧光的变化来计算</w:t>
      </w:r>
      <w:r w:rsidRPr="003D0262">
        <w:rPr>
          <w:rFonts w:ascii="Times New Roman" w:hAnsi="Times New Roman" w:hint="eastAsia"/>
          <w:szCs w:val="21"/>
        </w:rPr>
        <w:t>NOX</w:t>
      </w:r>
      <w:r w:rsidRPr="003D0262">
        <w:rPr>
          <w:rFonts w:ascii="Times New Roman" w:hAnsi="Times New Roman" w:hint="eastAsia"/>
          <w:szCs w:val="21"/>
        </w:rPr>
        <w:t>的活性。</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1.10</w:t>
      </w:r>
      <w:r w:rsidRPr="003D0262">
        <w:rPr>
          <w:rFonts w:ascii="Times New Roman" w:hAnsi="Times New Roman" w:hint="eastAsia"/>
          <w:b/>
          <w:szCs w:val="21"/>
        </w:rPr>
        <w:t>丙酮酸脱氢酶（</w:t>
      </w:r>
      <w:r w:rsidRPr="003D0262">
        <w:rPr>
          <w:rFonts w:ascii="Times New Roman" w:hAnsi="Times New Roman" w:hint="eastAsia"/>
          <w:b/>
          <w:szCs w:val="21"/>
        </w:rPr>
        <w:t>PDH</w:t>
      </w:r>
      <w:r w:rsidRPr="003D0262">
        <w:rPr>
          <w:rFonts w:ascii="Times New Roman" w:hAnsi="Times New Roman" w:hint="eastAsia"/>
          <w:b/>
          <w:szCs w:val="21"/>
        </w:rPr>
        <w:t>）活性测量</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PDH</w:t>
      </w:r>
      <w:r w:rsidRPr="003D0262">
        <w:rPr>
          <w:rFonts w:ascii="Times New Roman" w:hAnsi="Times New Roman" w:hint="eastAsia"/>
          <w:szCs w:val="21"/>
        </w:rPr>
        <w:t>酶的活性是通过</w:t>
      </w:r>
      <w:r w:rsidRPr="003D0262">
        <w:rPr>
          <w:rFonts w:ascii="Times New Roman" w:hAnsi="Times New Roman" w:hint="eastAsia"/>
          <w:szCs w:val="21"/>
        </w:rPr>
        <w:t>PDH</w:t>
      </w:r>
      <w:r w:rsidRPr="003D0262">
        <w:rPr>
          <w:rFonts w:ascii="Times New Roman" w:hAnsi="Times New Roman" w:hint="eastAsia"/>
          <w:szCs w:val="21"/>
        </w:rPr>
        <w:t>活性测定法测定试剂盒（</w:t>
      </w:r>
      <w:r w:rsidRPr="003D0262">
        <w:rPr>
          <w:rFonts w:ascii="Times New Roman" w:hAnsi="Times New Roman" w:hint="eastAsia"/>
          <w:szCs w:val="21"/>
        </w:rPr>
        <w:t>Abcam</w:t>
      </w:r>
      <w:r>
        <w:rPr>
          <w:rFonts w:ascii="Times New Roman" w:hAnsi="Times New Roman" w:hint="eastAsia"/>
          <w:szCs w:val="21"/>
        </w:rPr>
        <w:t>公司</w:t>
      </w:r>
      <w:r w:rsidRPr="003D0262">
        <w:rPr>
          <w:rFonts w:ascii="Times New Roman" w:hAnsi="Times New Roman" w:hint="eastAsia"/>
          <w:szCs w:val="21"/>
        </w:rPr>
        <w:t>）测定的</w:t>
      </w:r>
      <w:r>
        <w:rPr>
          <w:rFonts w:ascii="Times New Roman" w:hAnsi="Times New Roman" w:hint="eastAsia"/>
          <w:szCs w:val="21"/>
        </w:rPr>
        <w:t>[7]</w:t>
      </w:r>
      <w:r w:rsidRPr="003D0262">
        <w:rPr>
          <w:rFonts w:ascii="Times New Roman" w:hAnsi="Times New Roman" w:hint="eastAsia"/>
          <w:szCs w:val="21"/>
        </w:rPr>
        <w:t>。脑匀浆样品加载到一盘子上并且在分析溶液中孵育。</w:t>
      </w:r>
      <w:r w:rsidRPr="003D0262">
        <w:rPr>
          <w:rFonts w:ascii="Times New Roman" w:hAnsi="Times New Roman" w:hint="eastAsia"/>
          <w:szCs w:val="21"/>
        </w:rPr>
        <w:t>DTX-880</w:t>
      </w:r>
      <w:r w:rsidRPr="003D0262">
        <w:rPr>
          <w:rFonts w:ascii="Times New Roman" w:hAnsi="Times New Roman" w:hint="eastAsia"/>
          <w:szCs w:val="21"/>
        </w:rPr>
        <w:t>多模检测器（</w:t>
      </w:r>
      <w:r w:rsidRPr="003D0262">
        <w:rPr>
          <w:rFonts w:ascii="Times New Roman" w:hAnsi="Times New Roman" w:hint="eastAsia"/>
          <w:szCs w:val="21"/>
        </w:rPr>
        <w:t>Beckman Coulter</w:t>
      </w:r>
      <w:r w:rsidRPr="003D0262">
        <w:rPr>
          <w:rFonts w:ascii="Times New Roman" w:hAnsi="Times New Roman" w:hint="eastAsia"/>
          <w:szCs w:val="21"/>
        </w:rPr>
        <w:t>公司）每间隔</w:t>
      </w:r>
      <w:r w:rsidRPr="003D0262">
        <w:rPr>
          <w:rFonts w:ascii="Times New Roman" w:hAnsi="Times New Roman" w:hint="eastAsia"/>
          <w:szCs w:val="21"/>
        </w:rPr>
        <w:t>20</w:t>
      </w:r>
      <w:r w:rsidRPr="003D0262">
        <w:rPr>
          <w:rFonts w:ascii="Times New Roman" w:hAnsi="Times New Roman" w:hint="eastAsia"/>
          <w:szCs w:val="21"/>
        </w:rPr>
        <w:t>秒的时间测量</w:t>
      </w:r>
      <w:r w:rsidRPr="003D0262">
        <w:rPr>
          <w:rFonts w:ascii="Times New Roman" w:hAnsi="Times New Roman" w:hint="eastAsia"/>
          <w:szCs w:val="21"/>
        </w:rPr>
        <w:t>30</w:t>
      </w:r>
      <w:r w:rsidRPr="003D0262">
        <w:rPr>
          <w:rFonts w:ascii="Times New Roman" w:hAnsi="Times New Roman" w:hint="eastAsia"/>
          <w:szCs w:val="21"/>
        </w:rPr>
        <w:t>分钟测定</w:t>
      </w:r>
      <w:r w:rsidRPr="003D0262">
        <w:rPr>
          <w:rFonts w:ascii="Times New Roman" w:hAnsi="Times New Roman" w:hint="eastAsia"/>
          <w:szCs w:val="21"/>
        </w:rPr>
        <w:t>OD450</w:t>
      </w:r>
      <w:r w:rsidRPr="003D0262">
        <w:rPr>
          <w:rFonts w:ascii="Times New Roman" w:hAnsi="Times New Roman" w:hint="eastAsia"/>
          <w:szCs w:val="21"/>
        </w:rPr>
        <w:t>。计算和报告该曲线的斜率。</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 xml:space="preserve">1.11 </w:t>
      </w:r>
      <w:r w:rsidRPr="003D0262">
        <w:rPr>
          <w:rFonts w:ascii="Times New Roman" w:hAnsi="Times New Roman" w:hint="eastAsia"/>
          <w:b/>
          <w:szCs w:val="21"/>
        </w:rPr>
        <w:t>NOX</w:t>
      </w:r>
      <w:r w:rsidRPr="003D0262">
        <w:rPr>
          <w:rFonts w:ascii="Times New Roman" w:hAnsi="Times New Roman" w:hint="eastAsia"/>
          <w:b/>
          <w:szCs w:val="21"/>
        </w:rPr>
        <w:t>亚单位和</w:t>
      </w:r>
      <w:r w:rsidRPr="003D0262">
        <w:rPr>
          <w:rFonts w:ascii="Times New Roman" w:hAnsi="Times New Roman" w:hint="eastAsia"/>
          <w:b/>
          <w:szCs w:val="21"/>
        </w:rPr>
        <w:t>PDH</w:t>
      </w:r>
      <w:r w:rsidRPr="003D0262">
        <w:rPr>
          <w:rFonts w:ascii="Times New Roman" w:hAnsi="Times New Roman" w:hint="eastAsia"/>
          <w:b/>
          <w:szCs w:val="21"/>
        </w:rPr>
        <w:t>的蛋白表达</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如先前描述免疫印迹分析来评估</w:t>
      </w:r>
      <w:r w:rsidRPr="003D0262">
        <w:rPr>
          <w:rFonts w:ascii="Times New Roman" w:hAnsi="Times New Roman" w:hint="eastAsia"/>
          <w:szCs w:val="21"/>
        </w:rPr>
        <w:t>NOX</w:t>
      </w:r>
      <w:r w:rsidRPr="003D0262">
        <w:rPr>
          <w:rFonts w:ascii="Times New Roman" w:hAnsi="Times New Roman" w:hint="eastAsia"/>
          <w:szCs w:val="21"/>
        </w:rPr>
        <w:t>亚基（</w:t>
      </w:r>
      <w:r w:rsidRPr="003D0262">
        <w:rPr>
          <w:rFonts w:ascii="Times New Roman" w:hAnsi="Times New Roman" w:hint="eastAsia"/>
          <w:szCs w:val="21"/>
        </w:rPr>
        <w:t>p47phox</w:t>
      </w:r>
      <w:r w:rsidRPr="003D0262">
        <w:rPr>
          <w:rFonts w:ascii="Times New Roman" w:hAnsi="Times New Roman" w:hint="eastAsia"/>
          <w:szCs w:val="21"/>
        </w:rPr>
        <w:t>的，</w:t>
      </w:r>
      <w:r w:rsidRPr="003D0262">
        <w:rPr>
          <w:rFonts w:ascii="Times New Roman" w:hAnsi="Times New Roman" w:hint="eastAsia"/>
          <w:szCs w:val="21"/>
        </w:rPr>
        <w:t>gp91phox</w:t>
      </w:r>
      <w:r w:rsidRPr="003D0262">
        <w:rPr>
          <w:rFonts w:ascii="Times New Roman" w:hAnsi="Times New Roman" w:hint="eastAsia"/>
          <w:szCs w:val="21"/>
        </w:rPr>
        <w:t>和</w:t>
      </w:r>
      <w:r w:rsidRPr="003D0262">
        <w:rPr>
          <w:rFonts w:ascii="Times New Roman" w:hAnsi="Times New Roman" w:hint="eastAsia"/>
          <w:szCs w:val="21"/>
        </w:rPr>
        <w:t>p67phox</w:t>
      </w:r>
      <w:r w:rsidRPr="003D0262">
        <w:rPr>
          <w:rFonts w:ascii="Times New Roman" w:hAnsi="Times New Roman" w:hint="eastAsia"/>
          <w:szCs w:val="21"/>
        </w:rPr>
        <w:t>）和</w:t>
      </w:r>
      <w:r w:rsidRPr="003D0262">
        <w:rPr>
          <w:rFonts w:ascii="Times New Roman" w:hAnsi="Times New Roman" w:hint="eastAsia"/>
          <w:szCs w:val="21"/>
        </w:rPr>
        <w:t>PDH</w:t>
      </w:r>
      <w:r w:rsidRPr="003D0262">
        <w:rPr>
          <w:rFonts w:ascii="Times New Roman" w:hAnsi="Times New Roman" w:hint="eastAsia"/>
          <w:szCs w:val="21"/>
        </w:rPr>
        <w:t>的蛋白质表达，使用所选择的初级抗体（多克隆山羊抗</w:t>
      </w:r>
      <w:r w:rsidRPr="003D0262">
        <w:rPr>
          <w:rFonts w:ascii="Times New Roman" w:hAnsi="Times New Roman" w:hint="eastAsia"/>
          <w:szCs w:val="21"/>
        </w:rPr>
        <w:t>gp91phox</w:t>
      </w:r>
      <w:r w:rsidRPr="003D0262">
        <w:rPr>
          <w:rFonts w:ascii="Times New Roman" w:hAnsi="Times New Roman" w:hint="eastAsia"/>
          <w:szCs w:val="21"/>
        </w:rPr>
        <w:t>抗体</w:t>
      </w:r>
      <w:r w:rsidRPr="003D0262">
        <w:rPr>
          <w:rFonts w:ascii="Times New Roman" w:hAnsi="Times New Roman" w:hint="eastAsia"/>
          <w:szCs w:val="21"/>
        </w:rPr>
        <w:t xml:space="preserve"> 1:2000</w:t>
      </w:r>
      <w:r w:rsidRPr="003D0262">
        <w:rPr>
          <w:rFonts w:ascii="Times New Roman" w:hAnsi="Times New Roman" w:hint="eastAsia"/>
          <w:szCs w:val="21"/>
        </w:rPr>
        <w:t>，多克隆山羊抗</w:t>
      </w:r>
      <w:r w:rsidRPr="003D0262">
        <w:rPr>
          <w:rFonts w:ascii="Times New Roman" w:hAnsi="Times New Roman" w:hint="eastAsia"/>
          <w:szCs w:val="21"/>
        </w:rPr>
        <w:t>p47phox</w:t>
      </w:r>
      <w:r w:rsidRPr="003D0262">
        <w:rPr>
          <w:rFonts w:ascii="Times New Roman" w:hAnsi="Times New Roman" w:hint="eastAsia"/>
          <w:szCs w:val="21"/>
        </w:rPr>
        <w:t>抗体</w:t>
      </w:r>
      <w:r w:rsidRPr="003D0262">
        <w:rPr>
          <w:rFonts w:ascii="Times New Roman" w:hAnsi="Times New Roman" w:hint="eastAsia"/>
          <w:szCs w:val="21"/>
        </w:rPr>
        <w:t xml:space="preserve"> 1:1000</w:t>
      </w:r>
      <w:r w:rsidRPr="003D0262">
        <w:rPr>
          <w:rFonts w:ascii="Times New Roman" w:hAnsi="Times New Roman" w:hint="eastAsia"/>
          <w:szCs w:val="21"/>
        </w:rPr>
        <w:t>，多克隆羊抗</w:t>
      </w:r>
      <w:r w:rsidRPr="003D0262">
        <w:rPr>
          <w:rFonts w:ascii="Times New Roman" w:hAnsi="Times New Roman" w:hint="eastAsia"/>
          <w:szCs w:val="21"/>
        </w:rPr>
        <w:t>p67phox</w:t>
      </w:r>
      <w:r w:rsidRPr="003D0262">
        <w:rPr>
          <w:rFonts w:ascii="Times New Roman" w:hAnsi="Times New Roman" w:hint="eastAsia"/>
          <w:szCs w:val="21"/>
        </w:rPr>
        <w:t>抗体</w:t>
      </w:r>
      <w:r w:rsidRPr="003D0262">
        <w:rPr>
          <w:rFonts w:ascii="Times New Roman" w:hAnsi="Times New Roman" w:hint="eastAsia"/>
          <w:szCs w:val="21"/>
        </w:rPr>
        <w:t xml:space="preserve"> 1:1000</w:t>
      </w:r>
      <w:r w:rsidRPr="003D0262">
        <w:rPr>
          <w:rFonts w:ascii="Times New Roman" w:hAnsi="Times New Roman" w:hint="eastAsia"/>
          <w:szCs w:val="21"/>
        </w:rPr>
        <w:t>，多克隆兔抗</w:t>
      </w:r>
      <w:r w:rsidRPr="003D0262">
        <w:rPr>
          <w:rFonts w:ascii="Times New Roman" w:hAnsi="Times New Roman" w:hint="eastAsia"/>
          <w:szCs w:val="21"/>
        </w:rPr>
        <w:t>-PDH</w:t>
      </w:r>
      <w:r w:rsidRPr="003D0262">
        <w:rPr>
          <w:rFonts w:ascii="Times New Roman" w:hAnsi="Times New Roman" w:hint="eastAsia"/>
          <w:szCs w:val="21"/>
        </w:rPr>
        <w:t>抗体</w:t>
      </w:r>
      <w:r w:rsidRPr="003D0262">
        <w:rPr>
          <w:rFonts w:ascii="Times New Roman" w:hAnsi="Times New Roman" w:hint="eastAsia"/>
          <w:szCs w:val="21"/>
        </w:rPr>
        <w:t xml:space="preserve"> 1</w:t>
      </w:r>
      <w:r>
        <w:rPr>
          <w:rFonts w:ascii="Times New Roman" w:hAnsi="Times New Roman" w:hint="eastAsia"/>
          <w:szCs w:val="21"/>
        </w:rPr>
        <w:t>:250</w:t>
      </w:r>
      <w:r>
        <w:rPr>
          <w:rFonts w:ascii="Times New Roman" w:hAnsi="Times New Roman" w:hint="eastAsia"/>
          <w:szCs w:val="21"/>
        </w:rPr>
        <w:t>；</w:t>
      </w:r>
      <w:r w:rsidRPr="003D0262">
        <w:rPr>
          <w:rFonts w:ascii="Times New Roman" w:hAnsi="Times New Roman" w:hint="eastAsia"/>
          <w:szCs w:val="21"/>
        </w:rPr>
        <w:t>圣克鲁斯生物技术公司）。等于蛋白质装载进行确认和调整使用的β</w:t>
      </w:r>
      <w:r w:rsidRPr="003D0262">
        <w:rPr>
          <w:rFonts w:ascii="Times New Roman" w:hAnsi="Times New Roman" w:hint="eastAsia"/>
          <w:szCs w:val="21"/>
        </w:rPr>
        <w:t>-</w:t>
      </w:r>
      <w:r w:rsidRPr="003D0262">
        <w:rPr>
          <w:rFonts w:ascii="Times New Roman" w:hAnsi="Times New Roman" w:hint="eastAsia"/>
          <w:szCs w:val="21"/>
        </w:rPr>
        <w:t>肌动蛋白（山羊多克隆</w:t>
      </w:r>
      <w:r w:rsidRPr="003D0262">
        <w:rPr>
          <w:rFonts w:ascii="Times New Roman" w:hAnsi="Times New Roman" w:hint="eastAsia"/>
          <w:szCs w:val="21"/>
        </w:rPr>
        <w:t>anti</w:t>
      </w:r>
      <w:r w:rsidRPr="003D0262">
        <w:rPr>
          <w:rFonts w:ascii="Times New Roman" w:hAnsi="Times New Roman" w:hint="eastAsia"/>
          <w:szCs w:val="21"/>
        </w:rPr>
        <w:t>β</w:t>
      </w:r>
      <w:r w:rsidRPr="003D0262">
        <w:rPr>
          <w:rFonts w:ascii="Times New Roman" w:hAnsi="Times New Roman" w:hint="eastAsia"/>
          <w:szCs w:val="21"/>
        </w:rPr>
        <w:t>-</w:t>
      </w:r>
      <w:r w:rsidRPr="003D0262">
        <w:rPr>
          <w:rFonts w:ascii="Times New Roman" w:hAnsi="Times New Roman" w:hint="eastAsia"/>
          <w:szCs w:val="21"/>
        </w:rPr>
        <w:t>肌动蛋白抗体，</w:t>
      </w:r>
      <w:r>
        <w:rPr>
          <w:rFonts w:ascii="Times New Roman" w:hAnsi="Times New Roman" w:hint="eastAsia"/>
          <w:szCs w:val="21"/>
        </w:rPr>
        <w:t>1:1000</w:t>
      </w:r>
      <w:r>
        <w:rPr>
          <w:rFonts w:ascii="Times New Roman" w:hAnsi="Times New Roman" w:hint="eastAsia"/>
          <w:szCs w:val="21"/>
        </w:rPr>
        <w:t>；</w:t>
      </w:r>
      <w:r w:rsidRPr="003D0262">
        <w:rPr>
          <w:rFonts w:ascii="Times New Roman" w:hAnsi="Times New Roman" w:hint="eastAsia"/>
          <w:szCs w:val="21"/>
        </w:rPr>
        <w:t>圣克鲁斯生物技术公司）。靶抗原进行可视化使用标准的化学发光法（</w:t>
      </w:r>
      <w:r w:rsidRPr="003D0262">
        <w:rPr>
          <w:rFonts w:ascii="Times New Roman" w:hAnsi="Times New Roman" w:hint="eastAsia"/>
          <w:szCs w:val="21"/>
        </w:rPr>
        <w:t>Amersham</w:t>
      </w:r>
      <w:r w:rsidRPr="003D0262">
        <w:rPr>
          <w:rFonts w:ascii="Times New Roman" w:hAnsi="Times New Roman" w:hint="eastAsia"/>
          <w:szCs w:val="21"/>
        </w:rPr>
        <w:t>公司）。定量使用该程序进行相对目标蛋白的表达</w:t>
      </w:r>
      <w:r w:rsidRPr="003D0262">
        <w:rPr>
          <w:rFonts w:ascii="Times New Roman" w:hAnsi="Times New Roman" w:hint="eastAsia"/>
          <w:szCs w:val="21"/>
        </w:rPr>
        <w:t>ImageJ</w:t>
      </w:r>
      <w:r w:rsidRPr="003D0262">
        <w:rPr>
          <w:rFonts w:ascii="Times New Roman" w:hAnsi="Times New Roman" w:hint="eastAsia"/>
          <w:szCs w:val="21"/>
        </w:rPr>
        <w:t>的</w:t>
      </w:r>
      <w:r w:rsidRPr="003D0262">
        <w:rPr>
          <w:rFonts w:ascii="Times New Roman" w:hAnsi="Times New Roman" w:hint="eastAsia"/>
          <w:szCs w:val="21"/>
        </w:rPr>
        <w:t>1.42</w:t>
      </w:r>
      <w:r w:rsidRPr="003D0262">
        <w:rPr>
          <w:rFonts w:ascii="Times New Roman" w:hAnsi="Times New Roman" w:hint="eastAsia"/>
          <w:szCs w:val="21"/>
        </w:rPr>
        <w:t>（</w:t>
      </w:r>
      <w:r>
        <w:rPr>
          <w:rFonts w:ascii="Times New Roman" w:hAnsi="Times New Roman" w:hint="eastAsia"/>
          <w:szCs w:val="21"/>
        </w:rPr>
        <w:t>美</w:t>
      </w:r>
      <w:r>
        <w:rPr>
          <w:rFonts w:ascii="Times New Roman" w:hAnsi="Times New Roman" w:hint="eastAsia"/>
          <w:szCs w:val="21"/>
        </w:rPr>
        <w:lastRenderedPageBreak/>
        <w:t>国</w:t>
      </w:r>
      <w:r w:rsidRPr="003D0262">
        <w:rPr>
          <w:rFonts w:ascii="Times New Roman" w:hAnsi="Times New Roman" w:hint="eastAsia"/>
          <w:szCs w:val="21"/>
        </w:rPr>
        <w:t>国立卫生研究院）</w:t>
      </w:r>
      <w:r>
        <w:rPr>
          <w:rFonts w:ascii="Times New Roman" w:hAnsi="Times New Roman" w:hint="eastAsia"/>
          <w:szCs w:val="21"/>
        </w:rPr>
        <w:t>[2]</w:t>
      </w:r>
      <w:r w:rsidRPr="003D0262">
        <w:rPr>
          <w:rFonts w:ascii="Times New Roman" w:hAnsi="Times New Roman" w:hint="eastAsia"/>
          <w:szCs w:val="21"/>
        </w:rPr>
        <w:t>。</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1.12</w:t>
      </w:r>
      <w:r w:rsidRPr="003D0262">
        <w:rPr>
          <w:rFonts w:ascii="Times New Roman" w:hAnsi="Times New Roman" w:hint="eastAsia"/>
          <w:b/>
          <w:szCs w:val="21"/>
        </w:rPr>
        <w:t>细胞凋亡检测</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细胞凋亡的程度是通过量化凋亡过程中产生的细胞质组蛋白相关</w:t>
      </w:r>
      <w:r w:rsidRPr="003D0262">
        <w:rPr>
          <w:rFonts w:ascii="Times New Roman" w:hAnsi="Times New Roman" w:hint="eastAsia"/>
          <w:szCs w:val="21"/>
        </w:rPr>
        <w:t>DNA</w:t>
      </w:r>
      <w:r>
        <w:rPr>
          <w:rFonts w:ascii="Times New Roman" w:hAnsi="Times New Roman" w:hint="eastAsia"/>
          <w:szCs w:val="21"/>
        </w:rPr>
        <w:t>片段来分析的，并使用光度酶免疫分析法</w:t>
      </w:r>
      <w:r>
        <w:rPr>
          <w:rFonts w:ascii="Times New Roman" w:hAnsi="Times New Roman" w:hint="eastAsia"/>
          <w:szCs w:val="21"/>
        </w:rPr>
        <w:t>[8]</w:t>
      </w:r>
      <w:r>
        <w:rPr>
          <w:rFonts w:ascii="Times New Roman" w:hAnsi="Times New Roman" w:hint="eastAsia"/>
          <w:szCs w:val="21"/>
        </w:rPr>
        <w:t>。</w:t>
      </w:r>
      <w:r w:rsidRPr="003D0262">
        <w:rPr>
          <w:rFonts w:ascii="Times New Roman" w:hAnsi="Times New Roman" w:hint="eastAsia"/>
          <w:szCs w:val="21"/>
        </w:rPr>
        <w:t>(Cell Death Detection ELISA; Roche Diagnostics, Indianapolis, IN, USA).</w:t>
      </w:r>
      <w:r w:rsidRPr="003D0262">
        <w:rPr>
          <w:rFonts w:ascii="Times New Roman" w:hAnsi="Times New Roman" w:hint="eastAsia"/>
          <w:szCs w:val="21"/>
        </w:rPr>
        <w:t>。根据制造商的方案，随后会按我们先前描述的做稍微修改。简言之，将冷冻组织（</w:t>
      </w:r>
      <w:r w:rsidRPr="003D0262">
        <w:rPr>
          <w:rFonts w:ascii="Times New Roman" w:hAnsi="Times New Roman" w:hint="eastAsia"/>
          <w:szCs w:val="21"/>
        </w:rPr>
        <w:t>10</w:t>
      </w:r>
      <w:r w:rsidRPr="003D0262">
        <w:rPr>
          <w:rFonts w:ascii="Times New Roman" w:hAnsi="Times New Roman" w:hint="eastAsia"/>
          <w:szCs w:val="21"/>
        </w:rPr>
        <w:t>毫克），包括由大鼠大脑中动脉供应的额顶叶皮层和纹状体，被切细并在室温下含有</w:t>
      </w:r>
      <w:r w:rsidRPr="003D0262">
        <w:rPr>
          <w:rFonts w:ascii="Times New Roman" w:hAnsi="Times New Roman" w:hint="eastAsia"/>
          <w:szCs w:val="21"/>
        </w:rPr>
        <w:t>0.5</w:t>
      </w:r>
      <w:r w:rsidRPr="003D0262">
        <w:rPr>
          <w:rFonts w:ascii="Times New Roman" w:hAnsi="Times New Roman" w:hint="eastAsia"/>
          <w:szCs w:val="21"/>
        </w:rPr>
        <w:t>％到</w:t>
      </w:r>
      <w:r w:rsidRPr="003D0262">
        <w:rPr>
          <w:rFonts w:ascii="Times New Roman" w:hAnsi="Times New Roman" w:hint="eastAsia"/>
          <w:szCs w:val="21"/>
        </w:rPr>
        <w:t>20%</w:t>
      </w:r>
      <w:r w:rsidRPr="003D0262">
        <w:rPr>
          <w:rFonts w:ascii="Times New Roman" w:hAnsi="Times New Roman" w:hint="eastAsia"/>
          <w:szCs w:val="21"/>
        </w:rPr>
        <w:t>的</w:t>
      </w:r>
      <w:r w:rsidRPr="003D0262">
        <w:rPr>
          <w:rFonts w:ascii="Times New Roman" w:hAnsi="Times New Roman" w:hint="eastAsia"/>
          <w:szCs w:val="21"/>
        </w:rPr>
        <w:t>0.1M</w:t>
      </w:r>
      <w:r w:rsidRPr="003D0262">
        <w:rPr>
          <w:rFonts w:ascii="Times New Roman" w:hAnsi="Times New Roman" w:hint="eastAsia"/>
          <w:szCs w:val="21"/>
        </w:rPr>
        <w:t>柠檬酸溶液的振荡器上培养</w:t>
      </w:r>
      <w:r w:rsidRPr="003D0262">
        <w:rPr>
          <w:rFonts w:ascii="Times New Roman" w:hAnsi="Times New Roman" w:hint="eastAsia"/>
          <w:szCs w:val="21"/>
        </w:rPr>
        <w:t>20</w:t>
      </w:r>
      <w:r w:rsidRPr="003D0262">
        <w:rPr>
          <w:rFonts w:ascii="Times New Roman" w:hAnsi="Times New Roman" w:hint="eastAsia"/>
          <w:szCs w:val="21"/>
        </w:rPr>
        <w:t>分钟。将试样溶液在高转速（</w:t>
      </w:r>
      <w:r w:rsidRPr="003D0262">
        <w:rPr>
          <w:rFonts w:ascii="Times New Roman" w:hAnsi="Times New Roman" w:hint="eastAsia"/>
          <w:szCs w:val="21"/>
        </w:rPr>
        <w:t>2000</w:t>
      </w:r>
      <w:r w:rsidRPr="003D0262">
        <w:rPr>
          <w:rFonts w:ascii="Times New Roman" w:hAnsi="Times New Roman" w:hint="eastAsia"/>
          <w:szCs w:val="21"/>
        </w:rPr>
        <w:t>转）离心分离以沉淀细胞核。上层清液</w:t>
      </w:r>
      <w:r w:rsidRPr="003D0262">
        <w:rPr>
          <w:rFonts w:ascii="Times New Roman" w:hAnsi="Times New Roman" w:hint="eastAsia"/>
          <w:szCs w:val="21"/>
        </w:rPr>
        <w:t>(20</w:t>
      </w:r>
      <w:r w:rsidRPr="003D0262">
        <w:rPr>
          <w:rFonts w:ascii="Times New Roman" w:hAnsi="Times New Roman" w:hint="eastAsia"/>
          <w:szCs w:val="21"/>
        </w:rPr>
        <w:t>毫升</w:t>
      </w:r>
      <w:r w:rsidRPr="003D0262">
        <w:rPr>
          <w:rFonts w:ascii="Times New Roman" w:hAnsi="Times New Roman" w:hint="eastAsia"/>
          <w:szCs w:val="21"/>
        </w:rPr>
        <w:t>)</w:t>
      </w:r>
      <w:r w:rsidRPr="003D0262">
        <w:rPr>
          <w:rFonts w:ascii="Times New Roman" w:hAnsi="Times New Roman" w:hint="eastAsia"/>
          <w:szCs w:val="21"/>
        </w:rPr>
        <w:t>保留作为样本</w:t>
      </w:r>
      <w:r w:rsidRPr="003D0262">
        <w:rPr>
          <w:rFonts w:ascii="Times New Roman" w:hAnsi="Times New Roman" w:hint="eastAsia"/>
          <w:szCs w:val="21"/>
        </w:rPr>
        <w:t>,</w:t>
      </w:r>
      <w:r w:rsidRPr="003D0262">
        <w:rPr>
          <w:rFonts w:ascii="Times New Roman" w:hAnsi="Times New Roman" w:hint="eastAsia"/>
          <w:szCs w:val="21"/>
        </w:rPr>
        <w:t>而丢弃颗粒。</w:t>
      </w:r>
      <w:r w:rsidRPr="003D0262">
        <w:rPr>
          <w:rFonts w:ascii="Times New Roman" w:hAnsi="Times New Roman" w:hint="eastAsia"/>
          <w:szCs w:val="21"/>
        </w:rPr>
        <w:t>BCA</w:t>
      </w:r>
      <w:r w:rsidRPr="003D0262">
        <w:rPr>
          <w:rFonts w:ascii="Times New Roman" w:hAnsi="Times New Roman" w:hint="eastAsia"/>
          <w:szCs w:val="21"/>
        </w:rPr>
        <w:t>蛋白测定法来估计样品溶液中的细胞浓度。最终的样品溶液用所提供的培养缓冲液稀释至</w:t>
      </w:r>
      <w:r w:rsidRPr="003D0262">
        <w:rPr>
          <w:rFonts w:ascii="Times New Roman" w:hAnsi="Times New Roman" w:hint="eastAsia"/>
          <w:szCs w:val="21"/>
        </w:rPr>
        <w:t>0.1mg/ml</w:t>
      </w:r>
      <w:r w:rsidRPr="003D0262">
        <w:rPr>
          <w:rFonts w:ascii="Times New Roman" w:hAnsi="Times New Roman" w:hint="eastAsia"/>
          <w:szCs w:val="21"/>
        </w:rPr>
        <w:t>。多模检测器（</w:t>
      </w:r>
      <w:r w:rsidRPr="003D0262">
        <w:rPr>
          <w:rFonts w:ascii="Times New Roman" w:hAnsi="Times New Roman" w:hint="eastAsia"/>
          <w:szCs w:val="21"/>
        </w:rPr>
        <w:t>Beckman DTX-880</w:t>
      </w:r>
      <w:r w:rsidRPr="003D0262">
        <w:rPr>
          <w:rFonts w:ascii="Times New Roman" w:hAnsi="Times New Roman" w:hint="eastAsia"/>
          <w:szCs w:val="21"/>
        </w:rPr>
        <w:t>）检测的最终结果为</w:t>
      </w:r>
      <w:r w:rsidRPr="003D0262">
        <w:rPr>
          <w:rFonts w:ascii="Times New Roman" w:hAnsi="Times New Roman" w:hint="eastAsia"/>
          <w:szCs w:val="21"/>
        </w:rPr>
        <w:t>405nm</w:t>
      </w:r>
      <w:r w:rsidRPr="003D0262">
        <w:rPr>
          <w:rFonts w:ascii="Times New Roman" w:hAnsi="Times New Roman" w:hint="eastAsia"/>
          <w:szCs w:val="21"/>
        </w:rPr>
        <w:t>的吸光度。</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1.13</w:t>
      </w:r>
      <w:r w:rsidRPr="003D0262">
        <w:rPr>
          <w:rFonts w:ascii="Times New Roman" w:hAnsi="Times New Roman" w:hint="eastAsia"/>
          <w:b/>
          <w:szCs w:val="21"/>
        </w:rPr>
        <w:t>凋亡相关蛋白表达</w:t>
      </w:r>
    </w:p>
    <w:p w:rsidR="008E2211" w:rsidRPr="003D0262"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Western</w:t>
      </w:r>
      <w:r w:rsidRPr="003D0262">
        <w:rPr>
          <w:rFonts w:ascii="Times New Roman" w:hAnsi="Times New Roman" w:hint="eastAsia"/>
          <w:szCs w:val="21"/>
        </w:rPr>
        <w:t>印迹分析法检测缺血组织中的蛋白表达，如前所述</w:t>
      </w:r>
      <w:r>
        <w:rPr>
          <w:rFonts w:ascii="Times New Roman" w:hAnsi="Times New Roman" w:hint="eastAsia"/>
          <w:szCs w:val="21"/>
        </w:rPr>
        <w:t>[2]</w:t>
      </w:r>
      <w:r w:rsidRPr="003D0262">
        <w:rPr>
          <w:rFonts w:ascii="Times New Roman" w:hAnsi="Times New Roman" w:hint="eastAsia"/>
          <w:szCs w:val="21"/>
        </w:rPr>
        <w:t>。把从假手术组和</w:t>
      </w:r>
      <w:r>
        <w:rPr>
          <w:rFonts w:ascii="Times New Roman" w:hAnsi="Times New Roman" w:hint="eastAsia"/>
          <w:szCs w:val="21"/>
        </w:rPr>
        <w:t>实验组</w:t>
      </w:r>
      <w:r w:rsidRPr="003D0262">
        <w:rPr>
          <w:rFonts w:ascii="Times New Roman" w:hAnsi="Times New Roman" w:hint="eastAsia"/>
          <w:szCs w:val="21"/>
        </w:rPr>
        <w:t>的大鼠的脑组织分离出来，加载到同一个凝胶电泳上。电泳结束后，将蛋白转移到聚偏二氟乙烯膜上。</w:t>
      </w:r>
      <w:r w:rsidRPr="003D0262">
        <w:rPr>
          <w:rFonts w:ascii="Times New Roman" w:hAnsi="Times New Roman" w:hint="eastAsia"/>
          <w:szCs w:val="21"/>
        </w:rPr>
        <w:t>4</w:t>
      </w:r>
      <w:r w:rsidRPr="003D0262">
        <w:rPr>
          <w:rFonts w:ascii="Times New Roman" w:hAnsi="Times New Roman" w:hint="eastAsia"/>
          <w:szCs w:val="21"/>
        </w:rPr>
        <w:t>℃下膜培养第一抗体</w:t>
      </w:r>
      <w:r w:rsidRPr="003D0262">
        <w:rPr>
          <w:rFonts w:ascii="Times New Roman" w:hAnsi="Times New Roman" w:hint="eastAsia"/>
          <w:szCs w:val="21"/>
        </w:rPr>
        <w:t>24h</w:t>
      </w:r>
      <w:r w:rsidRPr="003D0262">
        <w:rPr>
          <w:rFonts w:ascii="Times New Roman" w:hAnsi="Times New Roman" w:hint="eastAsia"/>
          <w:szCs w:val="21"/>
        </w:rPr>
        <w:t>（兔多克隆抗体</w:t>
      </w:r>
      <w:r>
        <w:rPr>
          <w:rFonts w:ascii="Times New Roman" w:hAnsi="Times New Roman" w:hint="eastAsia"/>
          <w:szCs w:val="21"/>
        </w:rPr>
        <w:t>anti-Bcl-2</w:t>
      </w:r>
      <w:r>
        <w:rPr>
          <w:rFonts w:ascii="Times New Roman" w:hAnsi="Times New Roman" w:hint="eastAsia"/>
          <w:szCs w:val="21"/>
        </w:rPr>
        <w:t>，</w:t>
      </w:r>
      <w:r w:rsidRPr="003D0262">
        <w:rPr>
          <w:rFonts w:ascii="Times New Roman" w:hAnsi="Times New Roman" w:hint="eastAsia"/>
          <w:szCs w:val="21"/>
        </w:rPr>
        <w:t>1:200</w:t>
      </w:r>
      <w:r w:rsidRPr="003D0262">
        <w:rPr>
          <w:rFonts w:ascii="Times New Roman" w:hAnsi="Times New Roman" w:hint="eastAsia"/>
          <w:szCs w:val="21"/>
        </w:rPr>
        <w:t>，</w:t>
      </w:r>
      <w:r w:rsidRPr="003D0262">
        <w:rPr>
          <w:rFonts w:ascii="Times New Roman" w:hAnsi="Times New Roman" w:hint="eastAsia"/>
          <w:szCs w:val="21"/>
        </w:rPr>
        <w:t>Santa Cruz</w:t>
      </w:r>
      <w:r w:rsidRPr="003D0262">
        <w:rPr>
          <w:rFonts w:ascii="Times New Roman" w:hAnsi="Times New Roman" w:hint="eastAsia"/>
          <w:szCs w:val="21"/>
        </w:rPr>
        <w:t>；鼠多克隆抗体</w:t>
      </w:r>
      <w:r>
        <w:rPr>
          <w:rFonts w:ascii="Times New Roman" w:hAnsi="Times New Roman" w:hint="eastAsia"/>
          <w:szCs w:val="21"/>
        </w:rPr>
        <w:t xml:space="preserve"> anti-Bcl-XL</w:t>
      </w:r>
      <w:r>
        <w:rPr>
          <w:rFonts w:ascii="Times New Roman" w:hAnsi="Times New Roman" w:hint="eastAsia"/>
          <w:szCs w:val="21"/>
        </w:rPr>
        <w:t>，</w:t>
      </w:r>
      <w:r w:rsidRPr="003D0262">
        <w:rPr>
          <w:rFonts w:ascii="Times New Roman" w:hAnsi="Times New Roman" w:hint="eastAsia"/>
          <w:szCs w:val="21"/>
        </w:rPr>
        <w:t>1:200</w:t>
      </w:r>
      <w:r w:rsidRPr="003D0262">
        <w:rPr>
          <w:rFonts w:ascii="Times New Roman" w:hAnsi="Times New Roman" w:hint="eastAsia"/>
          <w:szCs w:val="21"/>
        </w:rPr>
        <w:t>，</w:t>
      </w:r>
      <w:r w:rsidRPr="003D0262">
        <w:rPr>
          <w:rFonts w:ascii="Times New Roman" w:hAnsi="Times New Roman" w:hint="eastAsia"/>
          <w:szCs w:val="21"/>
        </w:rPr>
        <w:t>Santa Cruz</w:t>
      </w:r>
      <w:r w:rsidRPr="003D0262">
        <w:rPr>
          <w:rFonts w:ascii="Times New Roman" w:hAnsi="Times New Roman" w:hint="eastAsia"/>
          <w:szCs w:val="21"/>
        </w:rPr>
        <w:t>；鼠多克隆抗体</w:t>
      </w:r>
      <w:r w:rsidRPr="003D0262">
        <w:rPr>
          <w:rFonts w:ascii="Times New Roman" w:hAnsi="Times New Roman" w:hint="eastAsia"/>
          <w:szCs w:val="21"/>
        </w:rPr>
        <w:t xml:space="preserve"> anti-Caspase</w:t>
      </w:r>
      <w:r w:rsidRPr="003D0262">
        <w:rPr>
          <w:rFonts w:ascii="Times New Roman" w:hAnsi="Times New Roman" w:hint="eastAsia"/>
          <w:szCs w:val="21"/>
        </w:rPr>
        <w:t>抗体</w:t>
      </w:r>
      <w:r>
        <w:rPr>
          <w:rFonts w:ascii="Times New Roman" w:hAnsi="Times New Roman" w:hint="eastAsia"/>
          <w:szCs w:val="21"/>
        </w:rPr>
        <w:t>，</w:t>
      </w:r>
      <w:r w:rsidRPr="003D0262">
        <w:rPr>
          <w:rFonts w:ascii="Times New Roman" w:hAnsi="Times New Roman" w:hint="eastAsia"/>
          <w:szCs w:val="21"/>
        </w:rPr>
        <w:t>1:5000</w:t>
      </w:r>
      <w:r w:rsidRPr="003D0262">
        <w:rPr>
          <w:rFonts w:ascii="Times New Roman" w:hAnsi="Times New Roman" w:hint="eastAsia"/>
          <w:szCs w:val="21"/>
        </w:rPr>
        <w:t>，</w:t>
      </w:r>
      <w:r w:rsidRPr="003D0262">
        <w:rPr>
          <w:rFonts w:ascii="Times New Roman" w:hAnsi="Times New Roman" w:hint="eastAsia"/>
          <w:szCs w:val="21"/>
        </w:rPr>
        <w:t>Santa Cruz</w:t>
      </w:r>
      <w:r w:rsidRPr="003D0262">
        <w:rPr>
          <w:rFonts w:ascii="Times New Roman" w:hAnsi="Times New Roman" w:hint="eastAsia"/>
          <w:szCs w:val="21"/>
        </w:rPr>
        <w:t>；兔多克隆抗体</w:t>
      </w:r>
      <w:r w:rsidRPr="003D0262">
        <w:rPr>
          <w:rFonts w:ascii="Times New Roman" w:hAnsi="Times New Roman" w:hint="eastAsia"/>
          <w:szCs w:val="21"/>
        </w:rPr>
        <w:t>anti-BAX</w:t>
      </w:r>
      <w:r w:rsidRPr="003D0262">
        <w:rPr>
          <w:rFonts w:ascii="Times New Roman" w:hAnsi="Times New Roman" w:hint="eastAsia"/>
          <w:szCs w:val="21"/>
        </w:rPr>
        <w:t>抗体</w:t>
      </w:r>
      <w:r>
        <w:rPr>
          <w:rFonts w:ascii="Times New Roman" w:hAnsi="Times New Roman" w:hint="eastAsia"/>
          <w:szCs w:val="21"/>
        </w:rPr>
        <w:t>，</w:t>
      </w:r>
      <w:r w:rsidRPr="003D0262">
        <w:rPr>
          <w:rFonts w:ascii="Times New Roman" w:hAnsi="Times New Roman" w:hint="eastAsia"/>
          <w:szCs w:val="21"/>
        </w:rPr>
        <w:t>1:500</w:t>
      </w:r>
      <w:r w:rsidRPr="003D0262">
        <w:rPr>
          <w:rFonts w:ascii="Times New Roman" w:hAnsi="Times New Roman" w:hint="eastAsia"/>
          <w:szCs w:val="21"/>
        </w:rPr>
        <w:t>，</w:t>
      </w:r>
      <w:r w:rsidRPr="003D0262">
        <w:rPr>
          <w:rFonts w:ascii="Times New Roman" w:hAnsi="Times New Roman" w:hint="eastAsia"/>
          <w:szCs w:val="21"/>
        </w:rPr>
        <w:t>Santa Cruz</w:t>
      </w:r>
      <w:r w:rsidRPr="003D0262">
        <w:rPr>
          <w:rFonts w:ascii="Times New Roman" w:hAnsi="Times New Roman" w:hint="eastAsia"/>
          <w:szCs w:val="21"/>
        </w:rPr>
        <w:t>；鼠多克隆抗体</w:t>
      </w:r>
      <w:r w:rsidRPr="003D0262">
        <w:rPr>
          <w:rFonts w:ascii="Times New Roman" w:hAnsi="Times New Roman" w:hint="eastAsia"/>
          <w:szCs w:val="21"/>
        </w:rPr>
        <w:t xml:space="preserve"> anti-AIF</w:t>
      </w:r>
      <w:r w:rsidRPr="003D0262">
        <w:rPr>
          <w:rFonts w:ascii="Times New Roman" w:hAnsi="Times New Roman" w:hint="eastAsia"/>
          <w:szCs w:val="21"/>
        </w:rPr>
        <w:t>抗体</w:t>
      </w:r>
      <w:r>
        <w:rPr>
          <w:rFonts w:ascii="Times New Roman" w:hAnsi="Times New Roman" w:hint="eastAsia"/>
          <w:szCs w:val="21"/>
        </w:rPr>
        <w:t>，</w:t>
      </w:r>
      <w:r w:rsidRPr="003D0262">
        <w:rPr>
          <w:rFonts w:ascii="Times New Roman" w:hAnsi="Times New Roman" w:hint="eastAsia"/>
          <w:szCs w:val="21"/>
        </w:rPr>
        <w:t>1:4000</w:t>
      </w:r>
      <w:r w:rsidRPr="003D0262">
        <w:rPr>
          <w:rFonts w:ascii="Times New Roman" w:hAnsi="Times New Roman" w:hint="eastAsia"/>
          <w:szCs w:val="21"/>
        </w:rPr>
        <w:t>，</w:t>
      </w:r>
      <w:r w:rsidRPr="003D0262">
        <w:rPr>
          <w:rFonts w:ascii="Times New Roman" w:hAnsi="Times New Roman" w:hint="eastAsia"/>
          <w:szCs w:val="21"/>
        </w:rPr>
        <w:t>Santa Cruz</w:t>
      </w:r>
      <w:r w:rsidRPr="003D0262">
        <w:rPr>
          <w:rFonts w:ascii="Times New Roman" w:hAnsi="Times New Roman" w:hint="eastAsia"/>
          <w:szCs w:val="21"/>
        </w:rPr>
        <w:t>）。下一步，用</w:t>
      </w:r>
      <w:r w:rsidRPr="003D0262">
        <w:rPr>
          <w:rFonts w:ascii="Times New Roman" w:hAnsi="Times New Roman" w:hint="eastAsia"/>
          <w:szCs w:val="21"/>
        </w:rPr>
        <w:t>PBS</w:t>
      </w:r>
      <w:r w:rsidRPr="003D0262">
        <w:rPr>
          <w:rFonts w:ascii="Times New Roman" w:hAnsi="Times New Roman" w:hint="eastAsia"/>
          <w:szCs w:val="21"/>
        </w:rPr>
        <w:t>液洗</w:t>
      </w:r>
      <w:r w:rsidRPr="003D0262">
        <w:rPr>
          <w:rFonts w:ascii="Times New Roman" w:hAnsi="Times New Roman" w:hint="eastAsia"/>
          <w:szCs w:val="21"/>
        </w:rPr>
        <w:t>3</w:t>
      </w:r>
      <w:r w:rsidRPr="003D0262">
        <w:rPr>
          <w:rFonts w:ascii="Times New Roman" w:hAnsi="Times New Roman" w:hint="eastAsia"/>
          <w:szCs w:val="21"/>
        </w:rPr>
        <w:t>次膜，每次</w:t>
      </w:r>
      <w:r w:rsidRPr="003D0262">
        <w:rPr>
          <w:rFonts w:ascii="Times New Roman" w:hAnsi="Times New Roman" w:hint="eastAsia"/>
          <w:szCs w:val="21"/>
        </w:rPr>
        <w:t>6</w:t>
      </w:r>
      <w:r w:rsidRPr="003D0262">
        <w:rPr>
          <w:rFonts w:ascii="Times New Roman" w:hAnsi="Times New Roman" w:hint="eastAsia"/>
          <w:szCs w:val="21"/>
        </w:rPr>
        <w:t>分钟，并室温下再次培养第二抗体（羊抗兔</w:t>
      </w:r>
      <w:r w:rsidRPr="003D0262">
        <w:rPr>
          <w:rFonts w:ascii="Times New Roman" w:hAnsi="Times New Roman" w:hint="eastAsia"/>
          <w:szCs w:val="21"/>
        </w:rPr>
        <w:t>IgG</w:t>
      </w:r>
      <w:r w:rsidRPr="003D0262">
        <w:rPr>
          <w:rFonts w:ascii="Times New Roman" w:hAnsi="Times New Roman" w:hint="eastAsia"/>
          <w:szCs w:val="21"/>
        </w:rPr>
        <w:t>，</w:t>
      </w:r>
      <w:r w:rsidRPr="003D0262">
        <w:rPr>
          <w:rFonts w:ascii="Times New Roman" w:hAnsi="Times New Roman" w:hint="eastAsia"/>
          <w:szCs w:val="21"/>
        </w:rPr>
        <w:t>Santa Cruz</w:t>
      </w:r>
      <w:r w:rsidRPr="003D0262">
        <w:rPr>
          <w:rFonts w:ascii="Times New Roman" w:hAnsi="Times New Roman" w:hint="eastAsia"/>
          <w:szCs w:val="21"/>
        </w:rPr>
        <w:t>；羊抗鼠</w:t>
      </w:r>
      <w:r w:rsidRPr="003D0262">
        <w:rPr>
          <w:rFonts w:ascii="Times New Roman" w:hAnsi="Times New Roman" w:hint="eastAsia"/>
          <w:szCs w:val="21"/>
        </w:rPr>
        <w:t>IgG</w:t>
      </w:r>
      <w:r w:rsidRPr="003D0262">
        <w:rPr>
          <w:rFonts w:ascii="Times New Roman" w:hAnsi="Times New Roman" w:hint="eastAsia"/>
          <w:szCs w:val="21"/>
        </w:rPr>
        <w:t>，</w:t>
      </w:r>
      <w:r w:rsidRPr="003D0262">
        <w:rPr>
          <w:rFonts w:ascii="Times New Roman" w:hAnsi="Times New Roman" w:hint="eastAsia"/>
          <w:szCs w:val="21"/>
        </w:rPr>
        <w:t>Santa Cruz</w:t>
      </w:r>
      <w:r w:rsidRPr="003D0262">
        <w:rPr>
          <w:rFonts w:ascii="Times New Roman" w:hAnsi="Times New Roman" w:hint="eastAsia"/>
          <w:szCs w:val="21"/>
        </w:rPr>
        <w:t>）</w:t>
      </w:r>
      <w:r w:rsidRPr="003D0262">
        <w:rPr>
          <w:rFonts w:ascii="Times New Roman" w:hAnsi="Times New Roman" w:hint="eastAsia"/>
          <w:szCs w:val="21"/>
        </w:rPr>
        <w:t>1h</w:t>
      </w:r>
      <w:r w:rsidRPr="003D0262">
        <w:rPr>
          <w:rFonts w:ascii="Times New Roman" w:hAnsi="Times New Roman" w:hint="eastAsia"/>
          <w:szCs w:val="21"/>
        </w:rPr>
        <w:t>。一个</w:t>
      </w:r>
      <w:r w:rsidRPr="003D0262">
        <w:rPr>
          <w:rFonts w:ascii="Times New Roman" w:hAnsi="Times New Roman" w:hint="eastAsia"/>
          <w:szCs w:val="21"/>
        </w:rPr>
        <w:t>ECL</w:t>
      </w:r>
      <w:r w:rsidRPr="003D0262">
        <w:rPr>
          <w:rFonts w:ascii="Times New Roman" w:hAnsi="Times New Roman" w:hint="eastAsia"/>
          <w:szCs w:val="21"/>
        </w:rPr>
        <w:t>系统被用于发光检测免疫反应带。按照相对图像密度，用图像分析软件（</w:t>
      </w:r>
      <w:r>
        <w:rPr>
          <w:rFonts w:ascii="Times New Roman" w:hAnsi="Times New Roman" w:hint="eastAsia"/>
          <w:szCs w:val="21"/>
        </w:rPr>
        <w:t>ImageJ 1.42</w:t>
      </w:r>
      <w:r>
        <w:rPr>
          <w:rFonts w:ascii="Times New Roman" w:hAnsi="Times New Roman" w:hint="eastAsia"/>
          <w:szCs w:val="21"/>
        </w:rPr>
        <w:t>，</w:t>
      </w:r>
      <w:r w:rsidRPr="003D0262">
        <w:rPr>
          <w:rFonts w:ascii="Times New Roman" w:hAnsi="Times New Roman" w:hint="eastAsia"/>
          <w:szCs w:val="21"/>
        </w:rPr>
        <w:t>国立卫生研究院</w:t>
      </w:r>
      <w:r>
        <w:rPr>
          <w:rFonts w:ascii="Times New Roman" w:hAnsi="Times New Roman" w:hint="eastAsia"/>
          <w:szCs w:val="21"/>
        </w:rPr>
        <w:t>，</w:t>
      </w:r>
      <w:r w:rsidRPr="003D0262">
        <w:rPr>
          <w:rFonts w:ascii="Times New Roman" w:hAnsi="Times New Roman" w:hint="eastAsia"/>
          <w:szCs w:val="21"/>
        </w:rPr>
        <w:t>美国）分析每个抗体的</w:t>
      </w:r>
      <w:r w:rsidRPr="003D0262">
        <w:rPr>
          <w:rFonts w:ascii="Times New Roman" w:hAnsi="Times New Roman" w:hint="eastAsia"/>
          <w:szCs w:val="21"/>
        </w:rPr>
        <w:t>Western</w:t>
      </w:r>
      <w:r w:rsidRPr="003D0262">
        <w:rPr>
          <w:rFonts w:ascii="Times New Roman" w:hAnsi="Times New Roman" w:hint="eastAsia"/>
          <w:szCs w:val="21"/>
        </w:rPr>
        <w:t>印迹图像包括β</w:t>
      </w:r>
      <w:r w:rsidRPr="003D0262">
        <w:rPr>
          <w:rFonts w:ascii="Times New Roman" w:hAnsi="Times New Roman" w:hint="eastAsia"/>
          <w:szCs w:val="21"/>
        </w:rPr>
        <w:t>-</w:t>
      </w:r>
      <w:r w:rsidRPr="003D0262">
        <w:rPr>
          <w:rFonts w:ascii="Times New Roman" w:hAnsi="Times New Roman" w:hint="eastAsia"/>
          <w:szCs w:val="21"/>
        </w:rPr>
        <w:t>肌动蛋白，以量化蛋白表达。对照组蛋白表达的平均量</w:t>
      </w:r>
      <w:r>
        <w:rPr>
          <w:rFonts w:ascii="Times New Roman" w:hAnsi="Times New Roman" w:hint="eastAsia"/>
          <w:szCs w:val="21"/>
        </w:rPr>
        <w:t>设为</w:t>
      </w:r>
      <w:r w:rsidRPr="003D0262">
        <w:rPr>
          <w:rFonts w:ascii="Times New Roman" w:hAnsi="Times New Roman" w:hint="eastAsia"/>
          <w:szCs w:val="21"/>
        </w:rPr>
        <w:t>1</w:t>
      </w:r>
      <w:r>
        <w:rPr>
          <w:rFonts w:ascii="Times New Roman" w:hAnsi="Times New Roman" w:hint="eastAsia"/>
          <w:szCs w:val="21"/>
        </w:rPr>
        <w:t>作为参考，各组间进行比较。</w:t>
      </w:r>
    </w:p>
    <w:p w:rsidR="008E2211" w:rsidRPr="003D0262" w:rsidRDefault="008E2211" w:rsidP="008E2211">
      <w:pPr>
        <w:spacing w:line="360" w:lineRule="auto"/>
        <w:rPr>
          <w:rFonts w:ascii="Times New Roman" w:hAnsi="Times New Roman" w:hint="eastAsia"/>
          <w:b/>
          <w:szCs w:val="21"/>
        </w:rPr>
      </w:pPr>
      <w:r>
        <w:rPr>
          <w:rFonts w:ascii="Times New Roman" w:hAnsi="Times New Roman" w:hint="eastAsia"/>
          <w:b/>
          <w:szCs w:val="21"/>
        </w:rPr>
        <w:t>1.14</w:t>
      </w:r>
      <w:r w:rsidRPr="003D0262">
        <w:rPr>
          <w:rFonts w:ascii="Times New Roman" w:hAnsi="Times New Roman" w:hint="eastAsia"/>
          <w:b/>
          <w:szCs w:val="21"/>
        </w:rPr>
        <w:t>统计分析</w:t>
      </w:r>
    </w:p>
    <w:p w:rsidR="008E2211" w:rsidRDefault="008E2211" w:rsidP="008E2211">
      <w:pPr>
        <w:spacing w:line="360" w:lineRule="auto"/>
        <w:ind w:firstLineChars="200" w:firstLine="420"/>
        <w:rPr>
          <w:rFonts w:ascii="Times New Roman" w:hAnsi="Times New Roman" w:hint="eastAsia"/>
          <w:szCs w:val="21"/>
        </w:rPr>
      </w:pPr>
      <w:r w:rsidRPr="003D0262">
        <w:rPr>
          <w:rFonts w:ascii="Times New Roman" w:hAnsi="Times New Roman" w:hint="eastAsia"/>
          <w:szCs w:val="21"/>
        </w:rPr>
        <w:t>用</w:t>
      </w:r>
      <w:r w:rsidRPr="003D0262">
        <w:rPr>
          <w:rFonts w:ascii="Times New Roman" w:hAnsi="Times New Roman" w:hint="eastAsia"/>
          <w:szCs w:val="21"/>
        </w:rPr>
        <w:t>Windows</w:t>
      </w:r>
      <w:r w:rsidRPr="003D0262">
        <w:rPr>
          <w:rFonts w:ascii="Times New Roman" w:hAnsi="Times New Roman" w:hint="eastAsia"/>
          <w:szCs w:val="21"/>
        </w:rPr>
        <w:t>版本</w:t>
      </w:r>
      <w:r w:rsidRPr="003D0262">
        <w:rPr>
          <w:rFonts w:ascii="Times New Roman" w:hAnsi="Times New Roman" w:hint="eastAsia"/>
          <w:szCs w:val="21"/>
        </w:rPr>
        <w:t>SPSS17.0</w:t>
      </w:r>
      <w:r w:rsidRPr="003D0262">
        <w:rPr>
          <w:rFonts w:ascii="Times New Roman" w:hAnsi="Times New Roman" w:hint="eastAsia"/>
          <w:szCs w:val="21"/>
        </w:rPr>
        <w:t>（</w:t>
      </w:r>
      <w:r w:rsidRPr="003D0262">
        <w:rPr>
          <w:rFonts w:ascii="Times New Roman" w:hAnsi="Times New Roman" w:hint="eastAsia"/>
          <w:szCs w:val="21"/>
        </w:rPr>
        <w:t>SPSS</w:t>
      </w:r>
      <w:r w:rsidRPr="003D0262">
        <w:rPr>
          <w:rFonts w:ascii="Times New Roman" w:hAnsi="Times New Roman" w:hint="eastAsia"/>
          <w:szCs w:val="21"/>
        </w:rPr>
        <w:t>软件公司）进行统计分析。组间差异采用单因素方差分析，</w:t>
      </w:r>
      <w:r w:rsidRPr="003D0262">
        <w:rPr>
          <w:rFonts w:ascii="Times New Roman" w:hAnsi="Times New Roman" w:hint="eastAsia"/>
          <w:szCs w:val="21"/>
        </w:rPr>
        <w:t>P &lt;0.05</w:t>
      </w:r>
      <w:r w:rsidRPr="003D0262">
        <w:rPr>
          <w:rFonts w:ascii="Times New Roman" w:hAnsi="Times New Roman" w:hint="eastAsia"/>
          <w:szCs w:val="21"/>
        </w:rPr>
        <w:t>认为有显著性差异。组间两两比较采用最小显著差分法。</w:t>
      </w:r>
    </w:p>
    <w:p w:rsidR="008E2211" w:rsidRDefault="008E2211" w:rsidP="008E2211">
      <w:pPr>
        <w:spacing w:line="360" w:lineRule="auto"/>
        <w:rPr>
          <w:rFonts w:ascii="Times New Roman" w:hAnsi="Times New Roman" w:hint="eastAsia"/>
          <w:b/>
          <w:szCs w:val="21"/>
        </w:rPr>
      </w:pPr>
      <w:r w:rsidRPr="00D04BEE">
        <w:rPr>
          <w:rFonts w:ascii="Times New Roman" w:hAnsi="Times New Roman" w:hint="eastAsia"/>
          <w:b/>
          <w:szCs w:val="21"/>
        </w:rPr>
        <w:t>结果</w:t>
      </w:r>
    </w:p>
    <w:p w:rsidR="008E2211" w:rsidRDefault="008E2211" w:rsidP="008E2211">
      <w:pPr>
        <w:spacing w:line="360" w:lineRule="auto"/>
        <w:rPr>
          <w:rFonts w:ascii="Times New Roman" w:hAnsi="Times New Roman" w:hint="eastAsia"/>
          <w:b/>
          <w:szCs w:val="21"/>
        </w:rPr>
      </w:pPr>
      <w:r w:rsidRPr="007B3043">
        <w:rPr>
          <w:rFonts w:ascii="Times New Roman" w:hAnsi="Times New Roman" w:hint="eastAsia"/>
          <w:b/>
          <w:szCs w:val="21"/>
        </w:rPr>
        <w:t xml:space="preserve">2.1 </w:t>
      </w:r>
      <w:r>
        <w:rPr>
          <w:rFonts w:ascii="Times New Roman" w:hAnsi="Times New Roman" w:hint="eastAsia"/>
          <w:b/>
          <w:szCs w:val="21"/>
        </w:rPr>
        <w:t xml:space="preserve"> </w:t>
      </w:r>
      <w:r w:rsidRPr="007B3043">
        <w:rPr>
          <w:rFonts w:ascii="Times New Roman" w:hAnsi="Times New Roman" w:hint="eastAsia"/>
          <w:b/>
          <w:szCs w:val="21"/>
        </w:rPr>
        <w:t>NBO</w:t>
      </w:r>
      <w:r w:rsidRPr="007B3043">
        <w:rPr>
          <w:rFonts w:ascii="Times New Roman" w:hAnsi="Times New Roman" w:hint="eastAsia"/>
          <w:b/>
          <w:szCs w:val="21"/>
        </w:rPr>
        <w:t>联合乙醇治疗显著减小脑梗死体积，改善神经功能</w:t>
      </w:r>
    </w:p>
    <w:p w:rsidR="008E2211" w:rsidRDefault="008E2211" w:rsidP="008E2211">
      <w:pPr>
        <w:spacing w:line="360" w:lineRule="auto"/>
        <w:ind w:firstLineChars="196" w:firstLine="413"/>
        <w:rPr>
          <w:rFonts w:ascii="Times New Roman" w:hAnsi="Times New Roman" w:hint="eastAsia"/>
          <w:szCs w:val="21"/>
        </w:rPr>
      </w:pPr>
      <w:r>
        <w:rPr>
          <w:b/>
          <w:noProof/>
        </w:rPr>
        <w:drawing>
          <wp:anchor distT="0" distB="0" distL="114300" distR="114300" simplePos="0" relativeHeight="251662336" behindDoc="0" locked="0" layoutInCell="1" allowOverlap="1">
            <wp:simplePos x="0" y="0"/>
            <wp:positionH relativeFrom="column">
              <wp:posOffset>3915410</wp:posOffset>
            </wp:positionH>
            <wp:positionV relativeFrom="paragraph">
              <wp:posOffset>377825</wp:posOffset>
            </wp:positionV>
            <wp:extent cx="1830705" cy="1546860"/>
            <wp:effectExtent l="19050" t="19050" r="17145" b="15240"/>
            <wp:wrapSquare wrapText="bothSides"/>
            <wp:docPr id="4" name="图片 4" descr="Figure 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B"/>
                    <pic:cNvPicPr>
                      <a:picLocks noChangeAspect="1" noChangeArrowheads="1"/>
                    </pic:cNvPicPr>
                  </pic:nvPicPr>
                  <pic:blipFill>
                    <a:blip r:embed="rId6" cstate="print"/>
                    <a:srcRect/>
                    <a:stretch>
                      <a:fillRect/>
                    </a:stretch>
                  </pic:blipFill>
                  <pic:spPr bwMode="auto">
                    <a:xfrm>
                      <a:off x="0" y="0"/>
                      <a:ext cx="1830705" cy="1546860"/>
                    </a:xfrm>
                    <a:prstGeom prst="rect">
                      <a:avLst/>
                    </a:prstGeom>
                    <a:noFill/>
                    <a:ln w="9525">
                      <a:solidFill>
                        <a:srgbClr val="000000"/>
                      </a:solidFill>
                      <a:miter lim="800000"/>
                      <a:headEnd/>
                      <a:tailEnd/>
                    </a:ln>
                  </pic:spPr>
                </pic:pic>
              </a:graphicData>
            </a:graphic>
          </wp:anchor>
        </w:drawing>
      </w:r>
      <w:r>
        <w:rPr>
          <w:b/>
          <w:noProof/>
        </w:rPr>
        <w:drawing>
          <wp:anchor distT="0" distB="0" distL="114300" distR="114300" simplePos="0" relativeHeight="251661312" behindDoc="0" locked="0" layoutInCell="1" allowOverlap="1">
            <wp:simplePos x="0" y="0"/>
            <wp:positionH relativeFrom="column">
              <wp:posOffset>1962785</wp:posOffset>
            </wp:positionH>
            <wp:positionV relativeFrom="paragraph">
              <wp:posOffset>377825</wp:posOffset>
            </wp:positionV>
            <wp:extent cx="1819275" cy="1546860"/>
            <wp:effectExtent l="19050" t="19050" r="28575" b="15240"/>
            <wp:wrapSquare wrapText="bothSides"/>
            <wp:docPr id="3" name="图片 3" descr="Figure 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A"/>
                    <pic:cNvPicPr>
                      <a:picLocks noChangeAspect="1" noChangeArrowheads="1"/>
                    </pic:cNvPicPr>
                  </pic:nvPicPr>
                  <pic:blipFill>
                    <a:blip r:embed="rId7" cstate="print"/>
                    <a:srcRect t="53580"/>
                    <a:stretch>
                      <a:fillRect/>
                    </a:stretch>
                  </pic:blipFill>
                  <pic:spPr bwMode="auto">
                    <a:xfrm>
                      <a:off x="0" y="0"/>
                      <a:ext cx="1819275" cy="1546860"/>
                    </a:xfrm>
                    <a:prstGeom prst="rect">
                      <a:avLst/>
                    </a:prstGeom>
                    <a:noFill/>
                    <a:ln w="9525">
                      <a:solidFill>
                        <a:srgbClr val="000000"/>
                      </a:solidFill>
                      <a:miter lim="800000"/>
                      <a:headEnd/>
                      <a:tailEnd/>
                    </a:ln>
                  </pic:spPr>
                </pic:pic>
              </a:graphicData>
            </a:graphic>
          </wp:anchor>
        </w:drawing>
      </w:r>
      <w:r>
        <w:rPr>
          <w:rFonts w:ascii="Times New Roman" w:hAnsi="Times New Roman" w:hint="eastAsia"/>
          <w:szCs w:val="21"/>
        </w:rPr>
        <w:t>单一</w:t>
      </w:r>
      <w:r>
        <w:rPr>
          <w:rFonts w:ascii="Times New Roman" w:hAnsi="Times New Roman" w:hint="eastAsia"/>
          <w:szCs w:val="21"/>
        </w:rPr>
        <w:t>NBO</w:t>
      </w:r>
      <w:r>
        <w:rPr>
          <w:rFonts w:ascii="Times New Roman" w:hAnsi="Times New Roman" w:hint="eastAsia"/>
          <w:szCs w:val="21"/>
        </w:rPr>
        <w:t>和乙醇均能发挥神经保护作用，联合治疗显著减小梗死体积，改善神经功能（</w:t>
      </w:r>
      <w:r>
        <w:rPr>
          <w:rFonts w:ascii="Times New Roman" w:hAnsi="Times New Roman" w:hint="eastAsia"/>
          <w:szCs w:val="21"/>
        </w:rPr>
        <w:t>p&lt;0.01</w:t>
      </w:r>
      <w:r>
        <w:rPr>
          <w:rFonts w:ascii="Times New Roman" w:hAnsi="Times New Roman" w:hint="eastAsia"/>
          <w:szCs w:val="21"/>
        </w:rPr>
        <w:t>）</w:t>
      </w:r>
    </w:p>
    <w:p w:rsidR="008E2211" w:rsidRPr="00C56821" w:rsidRDefault="008E2211" w:rsidP="008E2211">
      <w:pPr>
        <w:spacing w:line="360" w:lineRule="auto"/>
        <w:ind w:firstLineChars="196" w:firstLine="413"/>
        <w:rPr>
          <w:rFonts w:ascii="Times New Roman" w:hAnsi="Times New Roman" w:hint="eastAsia"/>
          <w:szCs w:val="21"/>
        </w:rPr>
      </w:pPr>
      <w:r>
        <w:rPr>
          <w:rFonts w:ascii="Times New Roman" w:hAnsi="Times New Roman" w:hint="eastAsia"/>
          <w:b/>
          <w:noProof/>
          <w:szCs w:val="21"/>
        </w:rPr>
        <w:lastRenderedPageBreak/>
        <w:drawing>
          <wp:anchor distT="0" distB="0" distL="114300" distR="114300" simplePos="0" relativeHeight="251660288" behindDoc="0" locked="0" layoutInCell="1" allowOverlap="1">
            <wp:simplePos x="0" y="0"/>
            <wp:positionH relativeFrom="column">
              <wp:posOffset>62865</wp:posOffset>
            </wp:positionH>
            <wp:positionV relativeFrom="paragraph">
              <wp:posOffset>71755</wp:posOffset>
            </wp:positionV>
            <wp:extent cx="1755140" cy="1555750"/>
            <wp:effectExtent l="19050" t="19050" r="16510" b="25400"/>
            <wp:wrapSquare wrapText="bothSides"/>
            <wp:docPr id="2" name="图片 2" descr="Figure 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A"/>
                    <pic:cNvPicPr>
                      <a:picLocks noChangeAspect="1" noChangeArrowheads="1"/>
                    </pic:cNvPicPr>
                  </pic:nvPicPr>
                  <pic:blipFill>
                    <a:blip r:embed="rId8" cstate="print"/>
                    <a:srcRect b="47578"/>
                    <a:stretch>
                      <a:fillRect/>
                    </a:stretch>
                  </pic:blipFill>
                  <pic:spPr bwMode="auto">
                    <a:xfrm>
                      <a:off x="0" y="0"/>
                      <a:ext cx="1755140" cy="1555750"/>
                    </a:xfrm>
                    <a:prstGeom prst="rect">
                      <a:avLst/>
                    </a:prstGeom>
                    <a:noFill/>
                    <a:ln w="9525">
                      <a:solidFill>
                        <a:srgbClr val="000000"/>
                      </a:solidFill>
                      <a:miter lim="800000"/>
                      <a:headEnd/>
                      <a:tailEnd/>
                    </a:ln>
                  </pic:spPr>
                </pic:pic>
              </a:graphicData>
            </a:graphic>
          </wp:anchor>
        </w:drawing>
      </w:r>
    </w:p>
    <w:p w:rsidR="008E2211" w:rsidRDefault="008E2211" w:rsidP="008E2211">
      <w:pPr>
        <w:spacing w:line="360" w:lineRule="auto"/>
        <w:rPr>
          <w:rFonts w:ascii="Times New Roman" w:hAnsi="Times New Roman" w:hint="eastAsia"/>
          <w:b/>
          <w:szCs w:val="21"/>
        </w:rPr>
      </w:pPr>
      <w:r w:rsidRPr="007B3043">
        <w:rPr>
          <w:rFonts w:ascii="Times New Roman" w:hAnsi="Times New Roman" w:hint="eastAsia"/>
          <w:b/>
          <w:szCs w:val="21"/>
        </w:rPr>
        <w:t>2.2</w:t>
      </w:r>
      <w:r>
        <w:rPr>
          <w:rFonts w:ascii="Times New Roman" w:hAnsi="Times New Roman" w:hint="eastAsia"/>
          <w:b/>
          <w:szCs w:val="21"/>
        </w:rPr>
        <w:t xml:space="preserve"> </w:t>
      </w:r>
      <w:r w:rsidRPr="007B3043">
        <w:rPr>
          <w:rFonts w:ascii="Times New Roman" w:hAnsi="Times New Roman" w:hint="eastAsia"/>
          <w:b/>
          <w:szCs w:val="21"/>
        </w:rPr>
        <w:t xml:space="preserve"> NBO</w:t>
      </w:r>
      <w:r w:rsidRPr="007B3043">
        <w:rPr>
          <w:rFonts w:ascii="Times New Roman" w:hAnsi="Times New Roman" w:hint="eastAsia"/>
          <w:b/>
          <w:szCs w:val="21"/>
        </w:rPr>
        <w:t>联合乙醇治疗明显改善</w:t>
      </w:r>
      <w:r w:rsidRPr="007B3043">
        <w:rPr>
          <w:rFonts w:ascii="Times New Roman" w:hAnsi="Times New Roman" w:hint="eastAsia"/>
          <w:b/>
          <w:szCs w:val="21"/>
        </w:rPr>
        <w:t>ADP/AT</w:t>
      </w:r>
      <w:r w:rsidRPr="007B3043">
        <w:rPr>
          <w:rFonts w:ascii="Times New Roman" w:hAnsi="Times New Roman" w:hint="eastAsia"/>
          <w:b/>
          <w:szCs w:val="21"/>
        </w:rPr>
        <w:t>比值，减少</w:t>
      </w:r>
      <w:r w:rsidRPr="007B3043">
        <w:rPr>
          <w:rFonts w:ascii="Times New Roman" w:hAnsi="Times New Roman" w:hint="eastAsia"/>
          <w:b/>
          <w:szCs w:val="21"/>
        </w:rPr>
        <w:t>ROS</w:t>
      </w:r>
      <w:r w:rsidRPr="007B3043">
        <w:rPr>
          <w:rFonts w:ascii="Times New Roman" w:hAnsi="Times New Roman" w:hint="eastAsia"/>
          <w:b/>
          <w:szCs w:val="21"/>
        </w:rPr>
        <w:t>生成并抑制</w:t>
      </w:r>
      <w:r w:rsidRPr="007B3043">
        <w:rPr>
          <w:rFonts w:ascii="Times New Roman" w:hAnsi="Times New Roman" w:hint="eastAsia"/>
          <w:b/>
          <w:szCs w:val="21"/>
        </w:rPr>
        <w:t>NOX</w:t>
      </w:r>
      <w:r w:rsidRPr="007B3043">
        <w:rPr>
          <w:rFonts w:ascii="Times New Roman" w:hAnsi="Times New Roman" w:hint="eastAsia"/>
          <w:b/>
          <w:szCs w:val="21"/>
        </w:rPr>
        <w:t>活性</w:t>
      </w:r>
    </w:p>
    <w:p w:rsidR="008E2211" w:rsidRPr="007B3043" w:rsidRDefault="008E2211" w:rsidP="008E2211">
      <w:pPr>
        <w:spacing w:line="360" w:lineRule="auto"/>
        <w:rPr>
          <w:rFonts w:ascii="Times New Roman" w:hAnsi="Times New Roman" w:hint="eastAsia"/>
          <w:b/>
          <w:szCs w:val="21"/>
        </w:rPr>
      </w:pPr>
      <w:r>
        <w:rPr>
          <w:rFonts w:ascii="Times New Roman" w:hAnsi="Times New Roman" w:hint="eastAsia"/>
          <w:b/>
          <w:szCs w:val="21"/>
        </w:rPr>
        <w:t xml:space="preserve">    </w:t>
      </w:r>
      <w:r w:rsidRPr="00C56821">
        <w:rPr>
          <w:rFonts w:ascii="Times New Roman" w:hAnsi="Times New Roman" w:hint="eastAsia"/>
          <w:szCs w:val="21"/>
        </w:rPr>
        <w:t>脑梗死后</w:t>
      </w:r>
      <w:r w:rsidRPr="00C56821">
        <w:rPr>
          <w:rFonts w:ascii="Times New Roman" w:hAnsi="Times New Roman" w:hint="eastAsia"/>
          <w:szCs w:val="21"/>
        </w:rPr>
        <w:t>ADP/ATP</w:t>
      </w:r>
      <w:r w:rsidRPr="00C56821">
        <w:rPr>
          <w:rFonts w:ascii="Times New Roman" w:hAnsi="Times New Roman" w:hint="eastAsia"/>
          <w:szCs w:val="21"/>
        </w:rPr>
        <w:t>比值显著升高，</w:t>
      </w:r>
      <w:r>
        <w:rPr>
          <w:rFonts w:ascii="Times New Roman" w:hAnsi="Times New Roman" w:hint="eastAsia"/>
          <w:szCs w:val="21"/>
        </w:rPr>
        <w:t>单独给予</w:t>
      </w:r>
      <w:r>
        <w:rPr>
          <w:rFonts w:ascii="Times New Roman" w:hAnsi="Times New Roman" w:hint="eastAsia"/>
          <w:szCs w:val="21"/>
        </w:rPr>
        <w:t>NBO</w:t>
      </w:r>
      <w:r>
        <w:rPr>
          <w:rFonts w:ascii="Times New Roman" w:hAnsi="Times New Roman" w:hint="eastAsia"/>
          <w:szCs w:val="21"/>
        </w:rPr>
        <w:t>和乙醇均能降低该比值，联合</w:t>
      </w:r>
      <w:r>
        <w:rPr>
          <w:rFonts w:ascii="Times New Roman" w:hAnsi="Times New Roman" w:hint="eastAsia"/>
          <w:szCs w:val="21"/>
        </w:rPr>
        <w:t>NBO</w:t>
      </w:r>
      <w:r>
        <w:rPr>
          <w:rFonts w:ascii="Times New Roman" w:hAnsi="Times New Roman" w:hint="eastAsia"/>
          <w:szCs w:val="21"/>
        </w:rPr>
        <w:t>及乙醇显著降低</w:t>
      </w:r>
      <w:r>
        <w:rPr>
          <w:rFonts w:ascii="Times New Roman" w:hAnsi="Times New Roman" w:hint="eastAsia"/>
          <w:szCs w:val="21"/>
        </w:rPr>
        <w:t>ADP/ATP</w:t>
      </w:r>
      <w:r>
        <w:rPr>
          <w:rFonts w:ascii="Times New Roman" w:hAnsi="Times New Roman" w:hint="eastAsia"/>
          <w:szCs w:val="21"/>
        </w:rPr>
        <w:t>比值（</w:t>
      </w:r>
      <w:r>
        <w:rPr>
          <w:rFonts w:ascii="Times New Roman" w:hAnsi="Times New Roman" w:hint="eastAsia"/>
          <w:szCs w:val="21"/>
        </w:rPr>
        <w:t>p&lt;0.01</w:t>
      </w:r>
      <w:r>
        <w:rPr>
          <w:rFonts w:ascii="Times New Roman" w:hAnsi="Times New Roman" w:hint="eastAsia"/>
          <w:szCs w:val="21"/>
        </w:rPr>
        <w:t>），提示通过治疗后在梗死区域脑神经细胞供能上调，并显著减少有害物质</w:t>
      </w:r>
      <w:r>
        <w:rPr>
          <w:rFonts w:ascii="Times New Roman" w:hAnsi="Times New Roman" w:hint="eastAsia"/>
          <w:szCs w:val="21"/>
        </w:rPr>
        <w:t>ROS</w:t>
      </w:r>
      <w:r>
        <w:rPr>
          <w:rFonts w:ascii="Times New Roman" w:hAnsi="Times New Roman" w:hint="eastAsia"/>
          <w:szCs w:val="21"/>
        </w:rPr>
        <w:t>生成（</w:t>
      </w:r>
      <w:r>
        <w:rPr>
          <w:rFonts w:ascii="Times New Roman" w:hAnsi="Times New Roman" w:hint="eastAsia"/>
          <w:szCs w:val="21"/>
        </w:rPr>
        <w:t>p&lt;0.01</w:t>
      </w:r>
      <w:r>
        <w:rPr>
          <w:rFonts w:ascii="Times New Roman" w:hAnsi="Times New Roman" w:hint="eastAsia"/>
          <w:szCs w:val="21"/>
        </w:rPr>
        <w:t>）。单独给予</w:t>
      </w:r>
      <w:r>
        <w:rPr>
          <w:rFonts w:ascii="Times New Roman" w:hAnsi="Times New Roman" w:hint="eastAsia"/>
          <w:szCs w:val="21"/>
        </w:rPr>
        <w:t>NBO</w:t>
      </w:r>
      <w:r>
        <w:rPr>
          <w:rFonts w:ascii="Times New Roman" w:hAnsi="Times New Roman" w:hint="eastAsia"/>
          <w:szCs w:val="21"/>
        </w:rPr>
        <w:t>及乙醇干预，</w:t>
      </w:r>
      <w:r w:rsidRPr="00316A0D">
        <w:rPr>
          <w:rFonts w:ascii="Times New Roman" w:hAnsi="Times New Roman" w:hint="eastAsia"/>
          <w:szCs w:val="21"/>
        </w:rPr>
        <w:t>烟酰胺腺嘌呤二核苷酸磷酸氧化酶（</w:t>
      </w:r>
      <w:r w:rsidRPr="00316A0D">
        <w:rPr>
          <w:rFonts w:ascii="Times New Roman" w:hAnsi="Times New Roman" w:hint="eastAsia"/>
          <w:szCs w:val="21"/>
        </w:rPr>
        <w:t>NOX</w:t>
      </w:r>
      <w:r w:rsidRPr="00316A0D">
        <w:rPr>
          <w:rFonts w:ascii="Times New Roman" w:hAnsi="Times New Roman" w:hint="eastAsia"/>
          <w:szCs w:val="21"/>
        </w:rPr>
        <w:t>）的活性</w:t>
      </w:r>
      <w:r>
        <w:rPr>
          <w:rFonts w:ascii="Times New Roman" w:hAnsi="Times New Roman" w:hint="eastAsia"/>
          <w:szCs w:val="21"/>
        </w:rPr>
        <w:t>无明显变化，协同运用</w:t>
      </w:r>
      <w:r>
        <w:rPr>
          <w:rFonts w:ascii="Times New Roman" w:hAnsi="Times New Roman" w:hint="eastAsia"/>
          <w:szCs w:val="21"/>
        </w:rPr>
        <w:t>NBO</w:t>
      </w:r>
      <w:r>
        <w:rPr>
          <w:rFonts w:ascii="Times New Roman" w:hAnsi="Times New Roman" w:hint="eastAsia"/>
          <w:szCs w:val="21"/>
        </w:rPr>
        <w:t>与乙醇显著降低该酶活性（</w:t>
      </w:r>
      <w:r>
        <w:rPr>
          <w:rFonts w:ascii="Times New Roman" w:hAnsi="Times New Roman" w:hint="eastAsia"/>
          <w:szCs w:val="21"/>
        </w:rPr>
        <w:t>p&lt;0.01</w:t>
      </w:r>
      <w:r>
        <w:rPr>
          <w:rFonts w:ascii="Times New Roman" w:hAnsi="Times New Roman" w:hint="eastAsia"/>
          <w:szCs w:val="21"/>
        </w:rPr>
        <w:t>）。</w:t>
      </w:r>
    </w:p>
    <w:p w:rsidR="008E2211" w:rsidRDefault="008E2211" w:rsidP="008E2211">
      <w:pPr>
        <w:spacing w:line="360" w:lineRule="auto"/>
        <w:rPr>
          <w:rFonts w:ascii="Times New Roman" w:hAnsi="Times New Roman" w:hint="eastAsia"/>
          <w:b/>
          <w:szCs w:val="21"/>
        </w:rPr>
      </w:pPr>
      <w:r>
        <w:rPr>
          <w:b/>
          <w:noProof/>
        </w:rPr>
        <w:drawing>
          <wp:anchor distT="0" distB="0" distL="114300" distR="114300" simplePos="0" relativeHeight="251664384" behindDoc="0" locked="0" layoutInCell="1" allowOverlap="1">
            <wp:simplePos x="0" y="0"/>
            <wp:positionH relativeFrom="column">
              <wp:posOffset>3995420</wp:posOffset>
            </wp:positionH>
            <wp:positionV relativeFrom="paragraph">
              <wp:posOffset>139700</wp:posOffset>
            </wp:positionV>
            <wp:extent cx="1776730" cy="1431925"/>
            <wp:effectExtent l="19050" t="19050" r="13970" b="15875"/>
            <wp:wrapSquare wrapText="bothSides"/>
            <wp:docPr id="6" name="图片 6"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3"/>
                    <pic:cNvPicPr>
                      <a:picLocks noChangeAspect="1" noChangeArrowheads="1"/>
                    </pic:cNvPicPr>
                  </pic:nvPicPr>
                  <pic:blipFill>
                    <a:blip r:embed="rId9" cstate="print"/>
                    <a:srcRect/>
                    <a:stretch>
                      <a:fillRect/>
                    </a:stretch>
                  </pic:blipFill>
                  <pic:spPr bwMode="auto">
                    <a:xfrm>
                      <a:off x="0" y="0"/>
                      <a:ext cx="1776730" cy="1431925"/>
                    </a:xfrm>
                    <a:prstGeom prst="rect">
                      <a:avLst/>
                    </a:prstGeom>
                    <a:noFill/>
                    <a:ln w="9525">
                      <a:solidFill>
                        <a:srgbClr val="000000"/>
                      </a:solidFill>
                      <a:miter lim="800000"/>
                      <a:headEnd/>
                      <a:tailEnd/>
                    </a:ln>
                  </pic:spPr>
                </pic:pic>
              </a:graphicData>
            </a:graphic>
          </wp:anchor>
        </w:drawing>
      </w:r>
      <w:r>
        <w:rPr>
          <w:noProof/>
        </w:rPr>
        <w:drawing>
          <wp:anchor distT="0" distB="0" distL="114300" distR="114300" simplePos="0" relativeHeight="251665408" behindDoc="0" locked="0" layoutInCell="1" allowOverlap="1">
            <wp:simplePos x="0" y="0"/>
            <wp:positionH relativeFrom="column">
              <wp:posOffset>2065020</wp:posOffset>
            </wp:positionH>
            <wp:positionV relativeFrom="paragraph">
              <wp:posOffset>139700</wp:posOffset>
            </wp:positionV>
            <wp:extent cx="1769745" cy="1431925"/>
            <wp:effectExtent l="19050" t="19050" r="20955" b="15875"/>
            <wp:wrapSquare wrapText="bothSides"/>
            <wp:docPr id="7" name="图片 7" descr="Figure 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A"/>
                    <pic:cNvPicPr>
                      <a:picLocks noChangeAspect="1" noChangeArrowheads="1"/>
                    </pic:cNvPicPr>
                  </pic:nvPicPr>
                  <pic:blipFill>
                    <a:blip r:embed="rId10" cstate="print"/>
                    <a:srcRect/>
                    <a:stretch>
                      <a:fillRect/>
                    </a:stretch>
                  </pic:blipFill>
                  <pic:spPr bwMode="auto">
                    <a:xfrm>
                      <a:off x="0" y="0"/>
                      <a:ext cx="1769745" cy="1431925"/>
                    </a:xfrm>
                    <a:prstGeom prst="rect">
                      <a:avLst/>
                    </a:prstGeom>
                    <a:noFill/>
                    <a:ln w="9525">
                      <a:solidFill>
                        <a:srgbClr val="000000"/>
                      </a:solidFill>
                      <a:miter lim="800000"/>
                      <a:headEnd/>
                      <a:tailEnd/>
                    </a:ln>
                  </pic:spPr>
                </pic:pic>
              </a:graphicData>
            </a:graphic>
          </wp:anchor>
        </w:drawing>
      </w:r>
      <w:r>
        <w:rPr>
          <w:b/>
          <w:noProof/>
        </w:rPr>
        <w:drawing>
          <wp:anchor distT="0" distB="0" distL="114300" distR="114300" simplePos="0" relativeHeight="251663360" behindDoc="0" locked="0" layoutInCell="1" allowOverlap="1">
            <wp:simplePos x="0" y="0"/>
            <wp:positionH relativeFrom="column">
              <wp:posOffset>177165</wp:posOffset>
            </wp:positionH>
            <wp:positionV relativeFrom="paragraph">
              <wp:posOffset>139700</wp:posOffset>
            </wp:positionV>
            <wp:extent cx="1751330" cy="1431925"/>
            <wp:effectExtent l="19050" t="19050" r="20320" b="15875"/>
            <wp:wrapSquare wrapText="bothSides"/>
            <wp:docPr id="5" name="图片 5"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2"/>
                    <pic:cNvPicPr>
                      <a:picLocks noChangeAspect="1" noChangeArrowheads="1"/>
                    </pic:cNvPicPr>
                  </pic:nvPicPr>
                  <pic:blipFill>
                    <a:blip r:embed="rId11" cstate="print"/>
                    <a:srcRect/>
                    <a:stretch>
                      <a:fillRect/>
                    </a:stretch>
                  </pic:blipFill>
                  <pic:spPr bwMode="auto">
                    <a:xfrm>
                      <a:off x="0" y="0"/>
                      <a:ext cx="1751330" cy="1431925"/>
                    </a:xfrm>
                    <a:prstGeom prst="rect">
                      <a:avLst/>
                    </a:prstGeom>
                    <a:noFill/>
                    <a:ln w="9525">
                      <a:solidFill>
                        <a:srgbClr val="000000"/>
                      </a:solidFill>
                      <a:miter lim="800000"/>
                      <a:headEnd/>
                      <a:tailEnd/>
                    </a:ln>
                  </pic:spPr>
                </pic:pic>
              </a:graphicData>
            </a:graphic>
          </wp:anchor>
        </w:drawing>
      </w:r>
      <w:r w:rsidRPr="007B3043">
        <w:rPr>
          <w:rFonts w:ascii="Times New Roman" w:hAnsi="Times New Roman" w:hint="eastAsia"/>
          <w:b/>
          <w:szCs w:val="21"/>
        </w:rPr>
        <w:t>2.3  NOX</w:t>
      </w:r>
      <w:r w:rsidRPr="007B3043">
        <w:rPr>
          <w:rFonts w:ascii="Times New Roman" w:hAnsi="Times New Roman" w:hint="eastAsia"/>
          <w:b/>
          <w:szCs w:val="21"/>
        </w:rPr>
        <w:t>相关蛋白（</w:t>
      </w:r>
      <w:r w:rsidRPr="007B3043">
        <w:rPr>
          <w:rFonts w:ascii="Times New Roman" w:hAnsi="Times New Roman" w:hint="eastAsia"/>
          <w:b/>
          <w:szCs w:val="21"/>
        </w:rPr>
        <w:t>p47phox</w:t>
      </w:r>
      <w:r w:rsidRPr="007B3043">
        <w:rPr>
          <w:rFonts w:ascii="Times New Roman" w:hAnsi="Times New Roman" w:hint="eastAsia"/>
          <w:b/>
          <w:szCs w:val="21"/>
        </w:rPr>
        <w:t>，</w:t>
      </w:r>
      <w:r w:rsidRPr="007B3043">
        <w:rPr>
          <w:rFonts w:ascii="Times New Roman" w:hAnsi="Times New Roman" w:hint="eastAsia"/>
          <w:b/>
          <w:szCs w:val="21"/>
        </w:rPr>
        <w:t>gp91phox</w:t>
      </w:r>
      <w:r w:rsidRPr="007B3043">
        <w:rPr>
          <w:rFonts w:ascii="Times New Roman" w:hAnsi="Times New Roman" w:hint="eastAsia"/>
          <w:b/>
          <w:szCs w:val="21"/>
        </w:rPr>
        <w:t>和</w:t>
      </w:r>
      <w:r w:rsidRPr="007B3043">
        <w:rPr>
          <w:rFonts w:ascii="Times New Roman" w:hAnsi="Times New Roman" w:hint="eastAsia"/>
          <w:b/>
          <w:szCs w:val="21"/>
        </w:rPr>
        <w:t>p67phox</w:t>
      </w:r>
      <w:r w:rsidRPr="007B3043">
        <w:rPr>
          <w:rFonts w:ascii="Times New Roman" w:hAnsi="Times New Roman" w:hint="eastAsia"/>
          <w:b/>
          <w:szCs w:val="21"/>
        </w:rPr>
        <w:t>）表达</w:t>
      </w:r>
    </w:p>
    <w:p w:rsidR="008E2211" w:rsidRPr="00C56821" w:rsidRDefault="008E2211" w:rsidP="008E2211">
      <w:pPr>
        <w:spacing w:line="360" w:lineRule="auto"/>
        <w:rPr>
          <w:rFonts w:ascii="Times New Roman" w:hAnsi="Times New Roman" w:hint="eastAsia"/>
          <w:szCs w:val="21"/>
        </w:rPr>
      </w:pPr>
      <w:r>
        <w:rPr>
          <w:rFonts w:ascii="Times New Roman" w:hAnsi="Times New Roman" w:hint="eastAsia"/>
          <w:b/>
          <w:szCs w:val="21"/>
        </w:rPr>
        <w:t xml:space="preserve">    </w:t>
      </w:r>
      <w:r>
        <w:rPr>
          <w:rFonts w:ascii="Times New Roman" w:hAnsi="Times New Roman" w:hint="eastAsia"/>
          <w:b/>
          <w:szCs w:val="21"/>
        </w:rPr>
        <w:t>脑梗死后</w:t>
      </w:r>
      <w:r w:rsidRPr="00316A0D">
        <w:rPr>
          <w:rFonts w:ascii="Times New Roman" w:hAnsi="Times New Roman" w:hint="eastAsia"/>
          <w:szCs w:val="21"/>
        </w:rPr>
        <w:t>烟酰胺腺嘌呤二核苷酸磷酸氧化酶（</w:t>
      </w:r>
      <w:r w:rsidRPr="00316A0D">
        <w:rPr>
          <w:rFonts w:ascii="Times New Roman" w:hAnsi="Times New Roman" w:hint="eastAsia"/>
          <w:szCs w:val="21"/>
        </w:rPr>
        <w:t>NOX</w:t>
      </w:r>
      <w:r w:rsidRPr="00316A0D">
        <w:rPr>
          <w:rFonts w:ascii="Times New Roman" w:hAnsi="Times New Roman" w:hint="eastAsia"/>
          <w:szCs w:val="21"/>
        </w:rPr>
        <w:t>）</w:t>
      </w:r>
      <w:r>
        <w:rPr>
          <w:rFonts w:ascii="Times New Roman" w:hAnsi="Times New Roman" w:hint="eastAsia"/>
          <w:szCs w:val="21"/>
        </w:rPr>
        <w:t>关键亚单位</w:t>
      </w:r>
      <w:r w:rsidRPr="00C56821">
        <w:rPr>
          <w:rFonts w:ascii="Times New Roman" w:hAnsi="Times New Roman" w:hint="eastAsia"/>
          <w:szCs w:val="21"/>
        </w:rPr>
        <w:t>p47phox</w:t>
      </w:r>
      <w:r w:rsidRPr="00C56821">
        <w:rPr>
          <w:rFonts w:ascii="Times New Roman" w:hAnsi="Times New Roman" w:hint="eastAsia"/>
          <w:szCs w:val="21"/>
        </w:rPr>
        <w:t>，</w:t>
      </w:r>
      <w:r w:rsidRPr="00C56821">
        <w:rPr>
          <w:rFonts w:ascii="Times New Roman" w:hAnsi="Times New Roman" w:hint="eastAsia"/>
          <w:szCs w:val="21"/>
        </w:rPr>
        <w:t>gp91phox</w:t>
      </w:r>
      <w:r w:rsidRPr="00C56821">
        <w:rPr>
          <w:rFonts w:ascii="Times New Roman" w:hAnsi="Times New Roman" w:hint="eastAsia"/>
          <w:szCs w:val="21"/>
        </w:rPr>
        <w:t>和</w:t>
      </w:r>
      <w:r w:rsidRPr="00C56821">
        <w:rPr>
          <w:rFonts w:ascii="Times New Roman" w:hAnsi="Times New Roman" w:hint="eastAsia"/>
          <w:szCs w:val="21"/>
        </w:rPr>
        <w:t>p67phox</w:t>
      </w:r>
      <w:r>
        <w:rPr>
          <w:rFonts w:ascii="Times New Roman" w:hAnsi="Times New Roman" w:hint="eastAsia"/>
          <w:szCs w:val="21"/>
        </w:rPr>
        <w:t>表达显著上调，单一运用</w:t>
      </w:r>
      <w:r>
        <w:rPr>
          <w:rFonts w:ascii="Times New Roman" w:hAnsi="Times New Roman" w:hint="eastAsia"/>
          <w:szCs w:val="21"/>
        </w:rPr>
        <w:t>NBO</w:t>
      </w:r>
      <w:r>
        <w:rPr>
          <w:rFonts w:ascii="Times New Roman" w:hAnsi="Times New Roman" w:hint="eastAsia"/>
          <w:szCs w:val="21"/>
        </w:rPr>
        <w:t>和乙醇均有降低作用，但给予</w:t>
      </w:r>
      <w:r>
        <w:rPr>
          <w:rFonts w:ascii="Times New Roman" w:hAnsi="Times New Roman" w:hint="eastAsia"/>
          <w:szCs w:val="21"/>
        </w:rPr>
        <w:t>NBO</w:t>
      </w:r>
      <w:r>
        <w:rPr>
          <w:rFonts w:ascii="Times New Roman" w:hAnsi="Times New Roman" w:hint="eastAsia"/>
          <w:szCs w:val="21"/>
        </w:rPr>
        <w:t>联合乙醇可产生显著抑制作用（</w:t>
      </w:r>
      <w:r>
        <w:rPr>
          <w:rFonts w:ascii="Times New Roman" w:hAnsi="Times New Roman" w:hint="eastAsia"/>
          <w:szCs w:val="21"/>
        </w:rPr>
        <w:t>p&lt;0.01</w:t>
      </w:r>
      <w:r>
        <w:rPr>
          <w:rFonts w:ascii="Times New Roman" w:hAnsi="Times New Roman" w:hint="eastAsia"/>
          <w:szCs w:val="21"/>
        </w:rPr>
        <w:t>）。</w:t>
      </w:r>
    </w:p>
    <w:p w:rsidR="008E2211" w:rsidRDefault="008E2211" w:rsidP="008E2211">
      <w:pPr>
        <w:spacing w:line="360" w:lineRule="auto"/>
        <w:rPr>
          <w:rFonts w:ascii="Times New Roman" w:hAnsi="Times New Roman" w:hint="eastAsia"/>
          <w:b/>
          <w:szCs w:val="21"/>
        </w:rPr>
      </w:pPr>
      <w:r>
        <w:rPr>
          <w:noProof/>
        </w:rPr>
        <w:drawing>
          <wp:anchor distT="0" distB="0" distL="114300" distR="114300" simplePos="0" relativeHeight="251666432" behindDoc="0" locked="0" layoutInCell="1" allowOverlap="1">
            <wp:simplePos x="0" y="0"/>
            <wp:positionH relativeFrom="column">
              <wp:posOffset>3995420</wp:posOffset>
            </wp:positionH>
            <wp:positionV relativeFrom="paragraph">
              <wp:posOffset>139700</wp:posOffset>
            </wp:positionV>
            <wp:extent cx="1767205" cy="1458595"/>
            <wp:effectExtent l="19050" t="19050" r="23495" b="27305"/>
            <wp:wrapSquare wrapText="bothSides"/>
            <wp:docPr id="8" name="图片 8" descr="Figure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C"/>
                    <pic:cNvPicPr>
                      <a:picLocks noChangeAspect="1" noChangeArrowheads="1"/>
                    </pic:cNvPicPr>
                  </pic:nvPicPr>
                  <pic:blipFill>
                    <a:blip r:embed="rId12" cstate="print"/>
                    <a:srcRect/>
                    <a:stretch>
                      <a:fillRect/>
                    </a:stretch>
                  </pic:blipFill>
                  <pic:spPr bwMode="auto">
                    <a:xfrm>
                      <a:off x="0" y="0"/>
                      <a:ext cx="1767205" cy="1458595"/>
                    </a:xfrm>
                    <a:prstGeom prst="rect">
                      <a:avLst/>
                    </a:prstGeom>
                    <a:noFill/>
                    <a:ln w="9525">
                      <a:solidFill>
                        <a:srgbClr val="000000"/>
                      </a:solidFill>
                      <a:miter lim="800000"/>
                      <a:headEnd/>
                      <a:tailEnd/>
                    </a:ln>
                  </pic:spPr>
                </pic:pic>
              </a:graphicData>
            </a:graphic>
          </wp:anchor>
        </w:drawing>
      </w:r>
      <w:r>
        <w:rPr>
          <w:noProof/>
        </w:rPr>
        <w:drawing>
          <wp:anchor distT="0" distB="0" distL="114300" distR="114300" simplePos="0" relativeHeight="251667456" behindDoc="0" locked="0" layoutInCell="1" allowOverlap="1">
            <wp:simplePos x="0" y="0"/>
            <wp:positionH relativeFrom="column">
              <wp:posOffset>2068830</wp:posOffset>
            </wp:positionH>
            <wp:positionV relativeFrom="paragraph">
              <wp:posOffset>139700</wp:posOffset>
            </wp:positionV>
            <wp:extent cx="1765935" cy="1458595"/>
            <wp:effectExtent l="19050" t="19050" r="24765" b="27305"/>
            <wp:wrapSquare wrapText="bothSides"/>
            <wp:docPr id="9" name="图片 9" descr="Figure 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4D"/>
                    <pic:cNvPicPr>
                      <a:picLocks noChangeAspect="1" noChangeArrowheads="1"/>
                    </pic:cNvPicPr>
                  </pic:nvPicPr>
                  <pic:blipFill>
                    <a:blip r:embed="rId13" cstate="print"/>
                    <a:srcRect/>
                    <a:stretch>
                      <a:fillRect/>
                    </a:stretch>
                  </pic:blipFill>
                  <pic:spPr bwMode="auto">
                    <a:xfrm>
                      <a:off x="0" y="0"/>
                      <a:ext cx="1765935" cy="1458595"/>
                    </a:xfrm>
                    <a:prstGeom prst="rect">
                      <a:avLst/>
                    </a:prstGeom>
                    <a:noFill/>
                    <a:ln w="9525">
                      <a:solidFill>
                        <a:srgbClr val="000000"/>
                      </a:solidFill>
                      <a:miter lim="800000"/>
                      <a:headEnd/>
                      <a:tailEnd/>
                    </a:ln>
                  </pic:spPr>
                </pic:pic>
              </a:graphicData>
            </a:graphic>
          </wp:anchor>
        </w:drawing>
      </w:r>
      <w:r>
        <w:rPr>
          <w:noProof/>
        </w:rPr>
        <w:drawing>
          <wp:anchor distT="0" distB="0" distL="114300" distR="114300" simplePos="0" relativeHeight="251668480" behindDoc="0" locked="0" layoutInCell="1" allowOverlap="1">
            <wp:simplePos x="0" y="0"/>
            <wp:positionH relativeFrom="column">
              <wp:posOffset>177165</wp:posOffset>
            </wp:positionH>
            <wp:positionV relativeFrom="paragraph">
              <wp:posOffset>139700</wp:posOffset>
            </wp:positionV>
            <wp:extent cx="1739900" cy="1458595"/>
            <wp:effectExtent l="19050" t="19050" r="12700" b="27305"/>
            <wp:wrapSquare wrapText="bothSides"/>
            <wp:docPr id="10" name="图片 10" descr="Figure 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4B"/>
                    <pic:cNvPicPr>
                      <a:picLocks noChangeAspect="1" noChangeArrowheads="1"/>
                    </pic:cNvPicPr>
                  </pic:nvPicPr>
                  <pic:blipFill>
                    <a:blip r:embed="rId14" cstate="print"/>
                    <a:srcRect/>
                    <a:stretch>
                      <a:fillRect/>
                    </a:stretch>
                  </pic:blipFill>
                  <pic:spPr bwMode="auto">
                    <a:xfrm>
                      <a:off x="0" y="0"/>
                      <a:ext cx="1739900" cy="1458595"/>
                    </a:xfrm>
                    <a:prstGeom prst="rect">
                      <a:avLst/>
                    </a:prstGeom>
                    <a:noFill/>
                    <a:ln w="9525">
                      <a:solidFill>
                        <a:srgbClr val="000000"/>
                      </a:solidFill>
                      <a:miter lim="800000"/>
                      <a:headEnd/>
                      <a:tailEnd/>
                    </a:ln>
                  </pic:spPr>
                </pic:pic>
              </a:graphicData>
            </a:graphic>
          </wp:anchor>
        </w:drawing>
      </w:r>
      <w:r>
        <w:rPr>
          <w:rFonts w:ascii="Times New Roman" w:hAnsi="Times New Roman" w:hint="eastAsia"/>
          <w:b/>
          <w:szCs w:val="21"/>
        </w:rPr>
        <w:t>2.4  PDH</w:t>
      </w:r>
      <w:r>
        <w:rPr>
          <w:rFonts w:ascii="Times New Roman" w:hAnsi="Times New Roman" w:hint="eastAsia"/>
          <w:b/>
          <w:szCs w:val="21"/>
        </w:rPr>
        <w:t>活性及相关蛋白表达</w:t>
      </w:r>
    </w:p>
    <w:p w:rsidR="008E2211" w:rsidRPr="00763FB2" w:rsidRDefault="008E2211" w:rsidP="008E2211">
      <w:pPr>
        <w:spacing w:line="360" w:lineRule="auto"/>
        <w:rPr>
          <w:rFonts w:ascii="Times New Roman" w:hAnsi="Times New Roman" w:hint="eastAsia"/>
          <w:szCs w:val="21"/>
        </w:rPr>
      </w:pPr>
      <w:r>
        <w:rPr>
          <w:rFonts w:ascii="Times New Roman" w:hAnsi="Times New Roman" w:hint="eastAsia"/>
          <w:b/>
          <w:szCs w:val="21"/>
        </w:rPr>
        <w:t xml:space="preserve">    </w:t>
      </w:r>
      <w:r w:rsidRPr="00763FB2">
        <w:rPr>
          <w:rFonts w:ascii="Times New Roman" w:hAnsi="Times New Roman" w:hint="eastAsia"/>
          <w:szCs w:val="21"/>
        </w:rPr>
        <w:t>联合治疗显著提升三羧酸循环关键酶</w:t>
      </w:r>
      <w:r w:rsidRPr="00763FB2">
        <w:rPr>
          <w:rFonts w:ascii="Times New Roman" w:hAnsi="Times New Roman" w:hint="eastAsia"/>
          <w:szCs w:val="21"/>
        </w:rPr>
        <w:t>PDH</w:t>
      </w:r>
      <w:r w:rsidRPr="00763FB2">
        <w:rPr>
          <w:rFonts w:ascii="Times New Roman" w:hAnsi="Times New Roman" w:hint="eastAsia"/>
          <w:szCs w:val="21"/>
        </w:rPr>
        <w:t>活性及蛋白表达，提示</w:t>
      </w:r>
      <w:r>
        <w:rPr>
          <w:rFonts w:ascii="Times New Roman" w:hAnsi="Times New Roman" w:hint="eastAsia"/>
          <w:szCs w:val="21"/>
        </w:rPr>
        <w:t>通过联合治疗梗死区域内无氧酵解得到有效抑制，</w:t>
      </w:r>
      <w:r w:rsidRPr="00763FB2">
        <w:rPr>
          <w:rFonts w:ascii="Times New Roman" w:hAnsi="Times New Roman" w:hint="eastAsia"/>
          <w:szCs w:val="21"/>
        </w:rPr>
        <w:t>有氧氧化</w:t>
      </w:r>
      <w:r>
        <w:rPr>
          <w:rFonts w:ascii="Times New Roman" w:hAnsi="Times New Roman" w:hint="eastAsia"/>
          <w:szCs w:val="21"/>
        </w:rPr>
        <w:t>过程</w:t>
      </w:r>
      <w:r w:rsidRPr="00763FB2">
        <w:rPr>
          <w:rFonts w:ascii="Times New Roman" w:hAnsi="Times New Roman" w:hint="eastAsia"/>
          <w:szCs w:val="21"/>
        </w:rPr>
        <w:t>明显改善</w:t>
      </w:r>
      <w:r>
        <w:rPr>
          <w:rFonts w:ascii="Times New Roman" w:hAnsi="Times New Roman" w:hint="eastAsia"/>
          <w:szCs w:val="21"/>
        </w:rPr>
        <w:t>（</w:t>
      </w:r>
      <w:r>
        <w:rPr>
          <w:rFonts w:ascii="Times New Roman" w:hAnsi="Times New Roman" w:hint="eastAsia"/>
          <w:szCs w:val="21"/>
        </w:rPr>
        <w:t>p&lt;0.01</w:t>
      </w:r>
      <w:r>
        <w:rPr>
          <w:rFonts w:ascii="Times New Roman" w:hAnsi="Times New Roman" w:hint="eastAsia"/>
          <w:szCs w:val="21"/>
        </w:rPr>
        <w:t>）。</w:t>
      </w:r>
    </w:p>
    <w:p w:rsidR="008E2211" w:rsidRDefault="008E2211" w:rsidP="008E2211">
      <w:pPr>
        <w:spacing w:line="360" w:lineRule="auto"/>
        <w:rPr>
          <w:rFonts w:ascii="Times New Roman" w:hAnsi="Times New Roman" w:hint="eastAsia"/>
          <w:b/>
          <w:szCs w:val="21"/>
        </w:rPr>
      </w:pPr>
      <w:r>
        <w:rPr>
          <w:noProof/>
        </w:rPr>
        <w:lastRenderedPageBreak/>
        <w:drawing>
          <wp:anchor distT="0" distB="0" distL="114300" distR="114300" simplePos="0" relativeHeight="251670528" behindDoc="0" locked="0" layoutInCell="1" allowOverlap="1">
            <wp:simplePos x="0" y="0"/>
            <wp:positionH relativeFrom="column">
              <wp:posOffset>2116455</wp:posOffset>
            </wp:positionH>
            <wp:positionV relativeFrom="paragraph">
              <wp:posOffset>59055</wp:posOffset>
            </wp:positionV>
            <wp:extent cx="1791970" cy="1459865"/>
            <wp:effectExtent l="19050" t="19050" r="17780" b="26035"/>
            <wp:wrapTopAndBottom/>
            <wp:docPr id="12" name="图片 12" descr="Figure 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5B"/>
                    <pic:cNvPicPr>
                      <a:picLocks noChangeAspect="1" noChangeArrowheads="1"/>
                    </pic:cNvPicPr>
                  </pic:nvPicPr>
                  <pic:blipFill>
                    <a:blip r:embed="rId15" cstate="print"/>
                    <a:srcRect/>
                    <a:stretch>
                      <a:fillRect/>
                    </a:stretch>
                  </pic:blipFill>
                  <pic:spPr bwMode="auto">
                    <a:xfrm>
                      <a:off x="0" y="0"/>
                      <a:ext cx="1791970" cy="1459865"/>
                    </a:xfrm>
                    <a:prstGeom prst="rect">
                      <a:avLst/>
                    </a:prstGeom>
                    <a:noFill/>
                    <a:ln w="9525">
                      <a:solidFill>
                        <a:srgbClr val="000000"/>
                      </a:solidFill>
                      <a:miter lim="800000"/>
                      <a:headEnd/>
                      <a:tailEnd/>
                    </a:ln>
                  </pic:spPr>
                </pic:pic>
              </a:graphicData>
            </a:graphic>
          </wp:anchor>
        </w:drawing>
      </w:r>
      <w:r>
        <w:rPr>
          <w:noProof/>
        </w:rPr>
        <w:drawing>
          <wp:anchor distT="0" distB="0" distL="114300" distR="114300" simplePos="0" relativeHeight="251669504" behindDoc="0" locked="0" layoutInCell="1" allowOverlap="1">
            <wp:simplePos x="0" y="0"/>
            <wp:positionH relativeFrom="column">
              <wp:posOffset>177165</wp:posOffset>
            </wp:positionH>
            <wp:positionV relativeFrom="paragraph">
              <wp:posOffset>55245</wp:posOffset>
            </wp:positionV>
            <wp:extent cx="1784985" cy="1459865"/>
            <wp:effectExtent l="19050" t="19050" r="24765" b="26035"/>
            <wp:wrapSquare wrapText="bothSides"/>
            <wp:docPr id="11" name="图片 11" descr="Figure 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A"/>
                    <pic:cNvPicPr>
                      <a:picLocks noChangeAspect="1" noChangeArrowheads="1"/>
                    </pic:cNvPicPr>
                  </pic:nvPicPr>
                  <pic:blipFill>
                    <a:blip r:embed="rId16" cstate="print"/>
                    <a:srcRect/>
                    <a:stretch>
                      <a:fillRect/>
                    </a:stretch>
                  </pic:blipFill>
                  <pic:spPr bwMode="auto">
                    <a:xfrm>
                      <a:off x="0" y="0"/>
                      <a:ext cx="1784985" cy="1459865"/>
                    </a:xfrm>
                    <a:prstGeom prst="rect">
                      <a:avLst/>
                    </a:prstGeom>
                    <a:noFill/>
                    <a:ln w="9525">
                      <a:solidFill>
                        <a:srgbClr val="000000"/>
                      </a:solidFill>
                      <a:miter lim="800000"/>
                      <a:headEnd/>
                      <a:tailEnd/>
                    </a:ln>
                  </pic:spPr>
                </pic:pic>
              </a:graphicData>
            </a:graphic>
          </wp:anchor>
        </w:drawing>
      </w:r>
      <w:r>
        <w:rPr>
          <w:rFonts w:ascii="Times New Roman" w:hAnsi="Times New Roman" w:hint="eastAsia"/>
          <w:b/>
          <w:szCs w:val="21"/>
        </w:rPr>
        <w:t xml:space="preserve">2.5  </w:t>
      </w:r>
      <w:r>
        <w:rPr>
          <w:rFonts w:ascii="Times New Roman" w:hAnsi="Times New Roman" w:hint="eastAsia"/>
          <w:b/>
          <w:szCs w:val="21"/>
        </w:rPr>
        <w:t>凋亡性细胞死亡和抗凋亡蛋白表达</w:t>
      </w:r>
    </w:p>
    <w:p w:rsidR="008E2211" w:rsidRDefault="008E2211" w:rsidP="008E2211">
      <w:pPr>
        <w:spacing w:line="360" w:lineRule="auto"/>
        <w:ind w:firstLine="435"/>
        <w:rPr>
          <w:rFonts w:ascii="Times New Roman" w:hAnsi="Times New Roman" w:hint="eastAsia"/>
          <w:szCs w:val="21"/>
        </w:rPr>
      </w:pPr>
      <w:r w:rsidRPr="000B28EB">
        <w:rPr>
          <w:rFonts w:ascii="Times New Roman" w:hAnsi="Times New Roman" w:hint="eastAsia"/>
          <w:szCs w:val="21"/>
        </w:rPr>
        <w:t>脑梗死后细胞凋亡性死亡明显上升，单一</w:t>
      </w:r>
      <w:r w:rsidRPr="000B28EB">
        <w:rPr>
          <w:rFonts w:ascii="Times New Roman" w:hAnsi="Times New Roman" w:hint="eastAsia"/>
          <w:szCs w:val="21"/>
        </w:rPr>
        <w:t>NBO</w:t>
      </w:r>
      <w:r w:rsidRPr="000B28EB">
        <w:rPr>
          <w:rFonts w:ascii="Times New Roman" w:hAnsi="Times New Roman" w:hint="eastAsia"/>
          <w:szCs w:val="21"/>
        </w:rPr>
        <w:t>及乙醇干预，可以抑制凋亡发生（</w:t>
      </w:r>
      <w:r w:rsidRPr="000B28EB">
        <w:rPr>
          <w:rFonts w:ascii="Times New Roman" w:hAnsi="Times New Roman" w:hint="eastAsia"/>
          <w:szCs w:val="21"/>
        </w:rPr>
        <w:t>p&lt;0.05</w:t>
      </w:r>
      <w:r w:rsidRPr="000B28EB">
        <w:rPr>
          <w:rFonts w:ascii="Times New Roman" w:hAnsi="Times New Roman" w:hint="eastAsia"/>
          <w:szCs w:val="21"/>
        </w:rPr>
        <w:t>），但协同运用</w:t>
      </w:r>
      <w:r w:rsidRPr="000B28EB">
        <w:rPr>
          <w:rFonts w:ascii="Times New Roman" w:hAnsi="Times New Roman" w:hint="eastAsia"/>
          <w:szCs w:val="21"/>
        </w:rPr>
        <w:t>NBO</w:t>
      </w:r>
      <w:r w:rsidRPr="000B28EB">
        <w:rPr>
          <w:rFonts w:ascii="Times New Roman" w:hAnsi="Times New Roman" w:hint="eastAsia"/>
          <w:szCs w:val="21"/>
        </w:rPr>
        <w:t>与乙醇可显著抑制凋亡（</w:t>
      </w:r>
      <w:r w:rsidRPr="000B28EB">
        <w:rPr>
          <w:rFonts w:ascii="Times New Roman" w:hAnsi="Times New Roman" w:hint="eastAsia"/>
          <w:szCs w:val="21"/>
        </w:rPr>
        <w:t>p&lt;0.01</w:t>
      </w:r>
      <w:r w:rsidRPr="000B28EB">
        <w:rPr>
          <w:rFonts w:ascii="Times New Roman" w:hAnsi="Times New Roman" w:hint="eastAsia"/>
          <w:szCs w:val="21"/>
        </w:rPr>
        <w:t>）</w:t>
      </w:r>
      <w:r>
        <w:rPr>
          <w:rFonts w:ascii="Times New Roman" w:hAnsi="Times New Roman" w:hint="eastAsia"/>
          <w:szCs w:val="21"/>
        </w:rPr>
        <w:t>，其作用机理在于明显促进了抗凋亡蛋白</w:t>
      </w:r>
      <w:r w:rsidRPr="00316A0D">
        <w:rPr>
          <w:rFonts w:ascii="Times New Roman" w:hAnsi="Times New Roman" w:hint="eastAsia"/>
          <w:szCs w:val="21"/>
        </w:rPr>
        <w:t>（</w:t>
      </w:r>
      <w:r w:rsidRPr="00316A0D">
        <w:rPr>
          <w:rFonts w:ascii="Times New Roman" w:hAnsi="Times New Roman" w:hint="eastAsia"/>
          <w:szCs w:val="21"/>
        </w:rPr>
        <w:t>Bcl-2</w:t>
      </w:r>
      <w:r w:rsidRPr="00316A0D">
        <w:rPr>
          <w:rFonts w:ascii="Times New Roman" w:hAnsi="Times New Roman" w:hint="eastAsia"/>
          <w:szCs w:val="21"/>
        </w:rPr>
        <w:t>和</w:t>
      </w:r>
      <w:r w:rsidRPr="00316A0D">
        <w:rPr>
          <w:rFonts w:ascii="Times New Roman" w:hAnsi="Times New Roman" w:hint="eastAsia"/>
          <w:szCs w:val="21"/>
        </w:rPr>
        <w:t>Bcl-xL</w:t>
      </w:r>
      <w:r w:rsidRPr="00316A0D">
        <w:rPr>
          <w:rFonts w:ascii="Times New Roman" w:hAnsi="Times New Roman" w:hint="eastAsia"/>
          <w:szCs w:val="21"/>
        </w:rPr>
        <w:t>）</w:t>
      </w:r>
      <w:r>
        <w:rPr>
          <w:rFonts w:ascii="Times New Roman" w:hAnsi="Times New Roman" w:hint="eastAsia"/>
          <w:szCs w:val="21"/>
        </w:rPr>
        <w:t>的表达（</w:t>
      </w:r>
      <w:r w:rsidRPr="000B28EB">
        <w:rPr>
          <w:rFonts w:ascii="Times New Roman" w:hAnsi="Times New Roman" w:hint="eastAsia"/>
          <w:szCs w:val="21"/>
        </w:rPr>
        <w:t>p&lt;0.01</w:t>
      </w:r>
      <w:r>
        <w:rPr>
          <w:rFonts w:ascii="Times New Roman" w:hAnsi="Times New Roman" w:hint="eastAsia"/>
          <w:szCs w:val="21"/>
        </w:rPr>
        <w:t>）。</w:t>
      </w:r>
    </w:p>
    <w:p w:rsidR="008E2211" w:rsidRPr="00CA485C" w:rsidRDefault="008E2211" w:rsidP="008E2211">
      <w:pPr>
        <w:spacing w:line="360" w:lineRule="auto"/>
        <w:rPr>
          <w:rFonts w:ascii="Times New Roman" w:hAnsi="Times New Roman" w:hint="eastAsia"/>
          <w:b/>
          <w:szCs w:val="21"/>
        </w:rPr>
      </w:pPr>
      <w:r w:rsidRPr="00CA485C">
        <w:rPr>
          <w:b/>
          <w:noProof/>
        </w:rPr>
        <w:pict>
          <v:group id="_x0000_s2061" style="position:absolute;left:0;text-align:left;margin-left:5.8pt;margin-top:6.8pt;width:447.4pt;height:120.3pt;z-index:251671552" coordorigin="1912,2435" coordsize="8948,24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1912;top:2435;width:2869;height:2405">
              <v:imagedata r:id="rId17" o:title="cell death"/>
            </v:shape>
            <v:shape id="_x0000_s2063" type="#_x0000_t75" style="position:absolute;left:4914;top:2435;width:2857;height:2406">
              <v:imagedata r:id="rId18" o:title="BCL-2"/>
            </v:shape>
            <v:shape id="_x0000_s2064" type="#_x0000_t75" style="position:absolute;left:7884;top:2436;width:2976;height:2373">
              <v:imagedata r:id="rId19" o:title="BCL-XL"/>
            </v:shape>
            <w10:wrap type="topAndBottom"/>
          </v:group>
        </w:pict>
      </w:r>
      <w:r w:rsidRPr="00CA485C">
        <w:rPr>
          <w:rFonts w:ascii="Times New Roman" w:hAnsi="Times New Roman" w:hint="eastAsia"/>
          <w:b/>
          <w:szCs w:val="21"/>
        </w:rPr>
        <w:t xml:space="preserve">2.6  </w:t>
      </w:r>
      <w:r w:rsidRPr="00CA485C">
        <w:rPr>
          <w:rFonts w:ascii="Times New Roman" w:hAnsi="Times New Roman" w:hint="eastAsia"/>
          <w:b/>
          <w:szCs w:val="21"/>
        </w:rPr>
        <w:t>前凋亡蛋白表达</w:t>
      </w:r>
    </w:p>
    <w:p w:rsidR="008E2211" w:rsidRPr="00CA485C" w:rsidRDefault="008E2211" w:rsidP="008E2211">
      <w:pPr>
        <w:spacing w:line="360" w:lineRule="auto"/>
        <w:ind w:firstLine="435"/>
        <w:rPr>
          <w:rFonts w:ascii="Times New Roman" w:hAnsi="Times New Roman" w:hint="eastAsia"/>
          <w:szCs w:val="21"/>
        </w:rPr>
      </w:pPr>
      <w:r>
        <w:rPr>
          <w:rFonts w:ascii="Times New Roman" w:hAnsi="Times New Roman" w:hint="eastAsia"/>
          <w:szCs w:val="21"/>
        </w:rPr>
        <w:t>促进凋亡发生蛋白</w:t>
      </w:r>
      <w:r w:rsidRPr="00316A0D">
        <w:rPr>
          <w:rFonts w:ascii="Times New Roman" w:hAnsi="Times New Roman" w:hint="eastAsia"/>
          <w:szCs w:val="21"/>
        </w:rPr>
        <w:t xml:space="preserve">(BAX, Caspase-3, </w:t>
      </w:r>
      <w:r w:rsidRPr="00316A0D">
        <w:rPr>
          <w:rFonts w:ascii="Times New Roman" w:hAnsi="Times New Roman" w:hint="eastAsia"/>
          <w:szCs w:val="21"/>
        </w:rPr>
        <w:t>和</w:t>
      </w:r>
      <w:r w:rsidRPr="00316A0D">
        <w:rPr>
          <w:rFonts w:ascii="Times New Roman" w:hAnsi="Times New Roman" w:hint="eastAsia"/>
          <w:szCs w:val="21"/>
        </w:rPr>
        <w:t>AIF)</w:t>
      </w:r>
      <w:r>
        <w:rPr>
          <w:rFonts w:ascii="Times New Roman" w:hAnsi="Times New Roman" w:hint="eastAsia"/>
          <w:szCs w:val="21"/>
        </w:rPr>
        <w:t>在急性脑梗死后表达明显上调，单独给予</w:t>
      </w:r>
      <w:r>
        <w:rPr>
          <w:rFonts w:ascii="Times New Roman" w:hAnsi="Times New Roman" w:hint="eastAsia"/>
          <w:szCs w:val="21"/>
        </w:rPr>
        <w:t>NBO</w:t>
      </w:r>
      <w:r>
        <w:rPr>
          <w:rFonts w:ascii="Times New Roman" w:hAnsi="Times New Roman" w:hint="eastAsia"/>
          <w:szCs w:val="21"/>
        </w:rPr>
        <w:t>及乙醇可以抑制其表达（</w:t>
      </w:r>
      <w:r>
        <w:rPr>
          <w:rFonts w:ascii="Times New Roman" w:hAnsi="Times New Roman" w:hint="eastAsia"/>
          <w:szCs w:val="21"/>
        </w:rPr>
        <w:t>p&lt;0.05</w:t>
      </w:r>
      <w:r>
        <w:rPr>
          <w:rFonts w:ascii="Times New Roman" w:hAnsi="Times New Roman" w:hint="eastAsia"/>
          <w:szCs w:val="21"/>
        </w:rPr>
        <w:t>），但是联合运用则发挥明显抑制作用（</w:t>
      </w:r>
      <w:r>
        <w:rPr>
          <w:rFonts w:ascii="Times New Roman" w:hAnsi="Times New Roman" w:hint="eastAsia"/>
          <w:szCs w:val="21"/>
        </w:rPr>
        <w:t>p&lt;0.01</w:t>
      </w:r>
      <w:r>
        <w:rPr>
          <w:rFonts w:ascii="Times New Roman" w:hAnsi="Times New Roman" w:hint="eastAsia"/>
          <w:szCs w:val="21"/>
        </w:rPr>
        <w:t>）。</w:t>
      </w:r>
    </w:p>
    <w:p w:rsidR="008E2211" w:rsidRPr="00853F71" w:rsidRDefault="008E2211" w:rsidP="008E2211">
      <w:pPr>
        <w:spacing w:line="360" w:lineRule="auto"/>
        <w:rPr>
          <w:rFonts w:ascii="Times New Roman" w:hAnsi="Times New Roman" w:hint="eastAsia"/>
          <w:b/>
          <w:szCs w:val="21"/>
        </w:rPr>
      </w:pPr>
      <w:r>
        <w:rPr>
          <w:noProof/>
        </w:rPr>
        <w:pict>
          <v:group id="_x0000_s2065" style="position:absolute;left:0;text-align:left;margin-left:5.8pt;margin-top:5.7pt;width:445pt;height:118.4pt;z-index:251672576" coordorigin="1892,6389" coordsize="8900,2368">
            <v:shape id="_x0000_s2066" type="#_x0000_t75" style="position:absolute;left:7950;top:6393;width:2842;height:2364">
              <v:imagedata r:id="rId20" o:title="AIF"/>
            </v:shape>
            <v:shape id="_x0000_s2067" type="#_x0000_t75" style="position:absolute;left:1892;top:6389;width:2821;height:2350">
              <v:imagedata r:id="rId21" o:title="BAX"/>
            </v:shape>
            <v:shape id="_x0000_s2068" type="#_x0000_t75" style="position:absolute;left:4890;top:6407;width:2926;height:2346">
              <v:imagedata r:id="rId22" o:title="Caspase 3"/>
            </v:shape>
            <w10:wrap type="topAndBottom"/>
          </v:group>
        </w:pict>
      </w:r>
      <w:r w:rsidRPr="00853F71">
        <w:rPr>
          <w:rFonts w:ascii="Times New Roman" w:hAnsi="Times New Roman" w:hint="eastAsia"/>
          <w:b/>
          <w:szCs w:val="21"/>
        </w:rPr>
        <w:t>参考文献</w:t>
      </w:r>
    </w:p>
    <w:p w:rsidR="008E2211" w:rsidRPr="00853F71" w:rsidRDefault="008E2211" w:rsidP="008E2211">
      <w:pPr>
        <w:rPr>
          <w:rFonts w:ascii="Times New Roman" w:hAnsi="Times New Roman"/>
          <w:szCs w:val="21"/>
        </w:rPr>
      </w:pPr>
      <w:r w:rsidRPr="00853F71">
        <w:rPr>
          <w:rFonts w:ascii="Times New Roman" w:hAnsi="Times New Roman"/>
          <w:szCs w:val="21"/>
        </w:rPr>
        <w:t>[1] Longa EZ, Weinstein PR, Carlson S, Cummins R. Reversible middle cerebral artery occlusion without craniectomy in rats. Stroke. 1989;20:84-91</w:t>
      </w:r>
    </w:p>
    <w:p w:rsidR="008E2211" w:rsidRPr="00853F71" w:rsidRDefault="008E2211" w:rsidP="008E2211">
      <w:pPr>
        <w:rPr>
          <w:rFonts w:ascii="Times New Roman" w:hAnsi="Times New Roman"/>
          <w:szCs w:val="21"/>
        </w:rPr>
      </w:pPr>
      <w:r w:rsidRPr="00853F71">
        <w:rPr>
          <w:rFonts w:ascii="Times New Roman" w:hAnsi="Times New Roman"/>
          <w:szCs w:val="21"/>
        </w:rPr>
        <w:t>[2] Wang F, Wang Y, Geng X, Asmaro K, Peng C, Sullivan JM, et al. Neuroprotective effect of acute ethanol administration in a rat with transient cerebral ischemia. Stroke. 2012;43:205-210</w:t>
      </w:r>
    </w:p>
    <w:p w:rsidR="008E2211" w:rsidRPr="00853F71" w:rsidRDefault="008E2211" w:rsidP="008E2211">
      <w:pPr>
        <w:rPr>
          <w:rFonts w:ascii="Times New Roman" w:hAnsi="Times New Roman"/>
          <w:szCs w:val="21"/>
        </w:rPr>
      </w:pPr>
      <w:r w:rsidRPr="00853F71">
        <w:rPr>
          <w:rFonts w:ascii="Times New Roman" w:hAnsi="Times New Roman"/>
          <w:szCs w:val="21"/>
        </w:rPr>
        <w:t>[3] Belayev L, Alonso OF, Busto R, Zhao W, Ginsberg MD. Middle cerebral artery occlusion in the rat by intraluminal suture. Neurological and pathological evaluation of an improved model. Stroke. 1996;27:1616-1622</w:t>
      </w:r>
    </w:p>
    <w:p w:rsidR="008E2211" w:rsidRPr="00853F71" w:rsidRDefault="008E2211" w:rsidP="008E2211">
      <w:pPr>
        <w:rPr>
          <w:rFonts w:ascii="Times New Roman" w:hAnsi="Times New Roman"/>
          <w:szCs w:val="21"/>
        </w:rPr>
      </w:pPr>
      <w:r w:rsidRPr="00853F71">
        <w:rPr>
          <w:rFonts w:ascii="Times New Roman" w:hAnsi="Times New Roman"/>
          <w:szCs w:val="21"/>
        </w:rPr>
        <w:t xml:space="preserve">[4] Yuan Y, Peng C, Li K, Hussain M, Sikharam C, Guthikonda M, et al. Ethanol reduces </w:t>
      </w:r>
      <w:r w:rsidRPr="00853F71">
        <w:rPr>
          <w:rFonts w:ascii="Times New Roman" w:hAnsi="Times New Roman"/>
          <w:szCs w:val="21"/>
        </w:rPr>
        <w:lastRenderedPageBreak/>
        <w:t>expression of apoptotic proteins after hypoxia/reoxygenation in a brain slice model. Neurol Res. 2012;34:373-378</w:t>
      </w:r>
    </w:p>
    <w:p w:rsidR="008E2211" w:rsidRPr="00853F71" w:rsidRDefault="008E2211" w:rsidP="008E2211">
      <w:pPr>
        <w:rPr>
          <w:rFonts w:ascii="Times New Roman" w:hAnsi="Times New Roman"/>
          <w:szCs w:val="21"/>
        </w:rPr>
      </w:pPr>
      <w:r w:rsidRPr="00853F71">
        <w:rPr>
          <w:rFonts w:ascii="Times New Roman" w:hAnsi="Times New Roman"/>
          <w:szCs w:val="21"/>
        </w:rPr>
        <w:t>[5] Kudin AP, Malinska D, Kunz WS. Sites of generation of reactive oxygen species in homogenates of brain tissue determined with the use of respiratory substrates and inhibitors. Biochim Biophys Acta. 2008;1777:689-695</w:t>
      </w:r>
    </w:p>
    <w:p w:rsidR="008E2211" w:rsidRPr="00853F71" w:rsidRDefault="008E2211" w:rsidP="008E2211">
      <w:pPr>
        <w:rPr>
          <w:rFonts w:ascii="Times New Roman" w:hAnsi="Times New Roman"/>
          <w:szCs w:val="21"/>
        </w:rPr>
      </w:pPr>
      <w:r w:rsidRPr="00853F71">
        <w:rPr>
          <w:rFonts w:ascii="Times New Roman" w:hAnsi="Times New Roman"/>
          <w:szCs w:val="21"/>
        </w:rPr>
        <w:t>[6] Liu W, Sood R, Chen Q, Sakoglu U, Hendren J, Cetin O, et al. Normobaric hyperoxia inhibits nadph oxidase-mediated matrix metalloproteinase-9 induction in cerebral microvessels in experimental stroke. J Neurochem. 2008;107:1196-1205</w:t>
      </w:r>
    </w:p>
    <w:p w:rsidR="008E2211" w:rsidRPr="00853F71" w:rsidRDefault="008E2211" w:rsidP="008E2211">
      <w:pPr>
        <w:rPr>
          <w:rFonts w:ascii="Times New Roman" w:hAnsi="Times New Roman" w:hint="eastAsia"/>
          <w:szCs w:val="21"/>
        </w:rPr>
      </w:pPr>
      <w:r w:rsidRPr="00853F71">
        <w:rPr>
          <w:rFonts w:ascii="Times New Roman" w:hAnsi="Times New Roman"/>
          <w:szCs w:val="21"/>
        </w:rPr>
        <w:t>[7] Rapoport M, Salman L, Sabag O, Patel MS, Lorberboum-Galski H. Successful tat-mediated enzyme replacement therapy in a mouse model of mitochondrial e3 deficiency. J Mol Med (Berl). 2011;89:161-170</w:t>
      </w:r>
    </w:p>
    <w:p w:rsidR="008E2211" w:rsidRDefault="008E2211" w:rsidP="008E2211">
      <w:pPr>
        <w:rPr>
          <w:rFonts w:ascii="Times New Roman" w:hAnsi="Times New Roman" w:hint="eastAsia"/>
          <w:szCs w:val="21"/>
        </w:rPr>
      </w:pPr>
      <w:r w:rsidRPr="00A73578">
        <w:rPr>
          <w:rFonts w:ascii="Times New Roman" w:hAnsi="Times New Roman" w:hint="eastAsia"/>
          <w:szCs w:val="21"/>
        </w:rPr>
        <w:t xml:space="preserve">[8] </w:t>
      </w:r>
      <w:r w:rsidRPr="00A73578">
        <w:rPr>
          <w:rFonts w:ascii="Times New Roman" w:hAnsi="Times New Roman"/>
          <w:szCs w:val="21"/>
        </w:rPr>
        <w:t>Holdenrieder, S., Stieber, P., Bodenmuller, H., Fertig, G., Furst, H., Schmeller, N., Untch, M., Seidel, D., 2001. Nucleosomes in serum as a marker for cell death. Clin Chem Lab Med. 2001;39:596-605</w:t>
      </w:r>
    </w:p>
    <w:p w:rsidR="0055453A" w:rsidRPr="008E2211" w:rsidRDefault="0055453A"/>
    <w:sectPr w:rsidR="0055453A" w:rsidRPr="008E221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453A" w:rsidRDefault="0055453A" w:rsidP="008E2211">
      <w:r>
        <w:separator/>
      </w:r>
    </w:p>
  </w:endnote>
  <w:endnote w:type="continuationSeparator" w:id="1">
    <w:p w:rsidR="0055453A" w:rsidRDefault="0055453A" w:rsidP="008E221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453A" w:rsidRDefault="0055453A" w:rsidP="008E2211">
      <w:r>
        <w:separator/>
      </w:r>
    </w:p>
  </w:footnote>
  <w:footnote w:type="continuationSeparator" w:id="1">
    <w:p w:rsidR="0055453A" w:rsidRDefault="0055453A" w:rsidP="008E221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E2211"/>
    <w:rsid w:val="0055453A"/>
    <w:rsid w:val="008E22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221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E22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8E2211"/>
    <w:rPr>
      <w:sz w:val="18"/>
      <w:szCs w:val="18"/>
    </w:rPr>
  </w:style>
  <w:style w:type="paragraph" w:styleId="a4">
    <w:name w:val="footer"/>
    <w:basedOn w:val="a"/>
    <w:link w:val="Char0"/>
    <w:uiPriority w:val="99"/>
    <w:semiHidden/>
    <w:unhideWhenUsed/>
    <w:rsid w:val="008E22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8E2211"/>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818</Words>
  <Characters>4663</Characters>
  <Application>Microsoft Office Word</Application>
  <DocSecurity>0</DocSecurity>
  <Lines>38</Lines>
  <Paragraphs>10</Paragraphs>
  <ScaleCrop>false</ScaleCrop>
  <Company/>
  <LinksUpToDate>false</LinksUpToDate>
  <CharactersWithSpaces>5471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ppt</dc:creator>
  <cp:keywords/>
  <dc:description/>
  <cp:lastModifiedBy>ppt</cp:lastModifiedBy>
  <cp:revision>2</cp:revision>
  <dcterms:created xsi:type="dcterms:W3CDTF">2014-11-07T10:07:00Z</dcterms:created>
  <dcterms:modified xsi:type="dcterms:W3CDTF">2014-11-07T10:08:00Z</dcterms:modified>
</cp:coreProperties>
</file>