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Batchsize = 256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 = 0.007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= 300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training accuracy:  0.778983526605404 final training loss: 0.03980357964572154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0.7064282980689122 final validation loss: 0.0852205018912043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0.7086113183805258 final test loss: 0.08060089924505778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Autoencoder_3_0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super(Autoencoder_3_0,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Encoder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.enc1 = nn.Sequential(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.enc2 = nn.Sequential(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.enc3 = nn.Sequential(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.dec1 = nn.Sequential(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.dec2 = nn.Sequential(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.dec3 = nn.Sequential(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nn.Sigmoid(),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Encoder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enc1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.enc1(x)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enc2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.enc2(enc1)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enc3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.enc3(enc2)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.dec1(enc3)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Resize and add skip connection from enc2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dec1 = F.interpolate(dec1, size=enc2.size()[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:]) + enc2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Assuming dec2 corresponds to the decoder layer after dec1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.dec2(dec1)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Resize and add skip connection from enc1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dec2 = F.interpolate(dec2, size=enc1.size()[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:]) + enc1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Assuming dec3 corresponds to the final decoder layer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.dec3(dec2)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