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794"/>
        <w:gridCol w:w="397"/>
        <w:gridCol w:w="1191"/>
        <w:gridCol w:w="538"/>
        <w:gridCol w:w="653"/>
        <w:gridCol w:w="623"/>
        <w:gridCol w:w="568"/>
        <w:gridCol w:w="424"/>
        <w:gridCol w:w="767"/>
        <w:gridCol w:w="651"/>
        <w:gridCol w:w="540"/>
        <w:gridCol w:w="168"/>
        <w:gridCol w:w="567"/>
        <w:gridCol w:w="1701"/>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bottom w:val="single" w:color="auto" w:sz="12" w:space="0"/>
            </w:tcBorders>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0" w:hRule="atLeast"/>
          <w:jc w:val="center"/>
        </w:trPr>
        <w:tc>
          <w:tcPr>
            <w:tcW w:w="10773" w:type="dxa"/>
            <w:gridSpan w:val="16"/>
            <w:tcBorders>
              <w:top w:val="single" w:color="auto" w:sz="12"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重要事項:</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r>
              <w:rPr>
                <w:rFonts w:hint="eastAsia" w:ascii="新細明體" w:hAnsi="新細明體" w:cs="SimSun"/>
                <w:b/>
                <w:sz w:val="18"/>
                <w:szCs w:val="18"/>
              </w:rPr>
              <w:t>此文件僅概括說明閣下保單的預計現金價值總額及身故賠償總額，旨在顯示任何非保證金額的比重，並闡釋在指定情景下非保證金額的變動情況。然而卻絕不影響保單合約內所訂明的條款及條件。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142" w:hRule="atLeast"/>
          <w:jc w:val="center"/>
        </w:trPr>
        <w:tc>
          <w:tcPr>
            <w:tcW w:w="10773" w:type="dxa"/>
            <w:gridSpan w:val="16"/>
            <w:tcBorders>
              <w:top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3"/>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vAlign w:val="center"/>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3"/>
            <w:vAlign w:val="center"/>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bottom w:val="double" w:color="auto" w:sz="4" w:space="0"/>
            </w:tcBorders>
            <w:vAlign w:val="center"/>
          </w:tcPr>
          <w:p>
            <w:pPr>
              <w:spacing w:after="0" w:line="240" w:lineRule="auto"/>
              <w:ind w:left="-113" w:right="-108"/>
              <w:textAlignment w:val="center"/>
              <w:rPr>
                <w:rFonts w:ascii="Times New Roman" w:hAnsi="Times New Roman" w:cs="Times New Roman"/>
                <w:sz w:val="6"/>
                <w:szCs w:val="6"/>
              </w:rPr>
            </w:pPr>
          </w:p>
        </w:tc>
        <w:tc>
          <w:tcPr>
            <w:tcW w:w="2126" w:type="dxa"/>
            <w:gridSpan w:val="3"/>
            <w:tcBorders>
              <w:bottom w:val="double" w:color="auto" w:sz="4" w:space="0"/>
            </w:tcBorders>
            <w:vAlign w:val="center"/>
          </w:tcPr>
          <w:p>
            <w:pPr>
              <w:spacing w:after="0" w:line="240" w:lineRule="auto"/>
              <w:ind w:left="-108"/>
              <w:textAlignment w:val="center"/>
              <w:rPr>
                <w:rFonts w:ascii="Times New Roman" w:hAnsi="Times New Roman" w:cs="Times New Roman"/>
                <w:sz w:val="6"/>
                <w:szCs w:val="6"/>
              </w:rPr>
            </w:pPr>
          </w:p>
        </w:tc>
        <w:tc>
          <w:tcPr>
            <w:tcW w:w="1276" w:type="dxa"/>
            <w:gridSpan w:val="2"/>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4"/>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3"/>
            <w:tcBorders>
              <w:bottom w:val="double" w:color="auto" w:sz="4" w:space="0"/>
            </w:tcBorders>
            <w:vAlign w:val="center"/>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vAlign w:val="center"/>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6" w:type="dxa"/>
            <w:gridSpan w:val="2"/>
            <w:tcBorders>
              <w:top w:val="double" w:color="auto" w:sz="4" w:space="0"/>
            </w:tcBorders>
            <w:vAlign w:val="center"/>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4"/>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3"/>
            <w:tcBorders>
              <w:top w:val="double" w:color="auto" w:sz="4" w:space="0"/>
            </w:tcBorders>
            <w:vAlign w:val="center"/>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vAlign w:val="center"/>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8"/>
            <w:vAlign w:val="center"/>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bCs/>
                <w:sz w:val="24"/>
                <w:szCs w:val="24"/>
              </w:rPr>
              <w:t>『悅』心</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MERGEFIELD  plYr  \* MERGEFORMAT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«plYr»</w:t>
            </w:r>
            <w:r>
              <w:rPr>
                <w:rFonts w:ascii="Times New Roman" w:hAnsi="Times New Roman" w:cs="Times New Roman"/>
                <w:b/>
                <w:bCs/>
                <w:sz w:val="24"/>
                <w:szCs w:val="24"/>
              </w:rPr>
              <w:fldChar w:fldCharType="end"/>
            </w:r>
            <w:r>
              <w:rPr>
                <w:rFonts w:ascii="Times New Roman" w:hAnsi="Times New Roman" w:cs="Times New Roman"/>
                <w:b/>
                <w:bCs/>
                <w:sz w:val="24"/>
                <w:szCs w:val="24"/>
              </w:rPr>
              <w:t>退休保障計劃</w:t>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bottom w:val="single" w:color="auto" w:sz="4" w:space="0"/>
            </w:tcBorders>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Borders>
              <w:bottom w:val="single" w:color="auto" w:sz="4" w:space="0"/>
            </w:tcBorders>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Borders>
              <w:bottom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top w:val="single" w:color="auto" w:sz="4" w:space="0"/>
            </w:tcBorders>
            <w:vAlign w:val="center"/>
          </w:tcPr>
          <w:p>
            <w:pPr>
              <w:widowControl w:val="0"/>
              <w:spacing w:after="0" w:line="240" w:lineRule="auto"/>
              <w:ind w:left="-113" w:right="-108"/>
              <w:textAlignment w:val="center"/>
              <w:rPr>
                <w:rFonts w:ascii="Times New Roman" w:hAnsi="Times New Roman" w:cs="Times New Roman"/>
                <w:b/>
                <w:sz w:val="12"/>
                <w:szCs w:val="12"/>
              </w:rPr>
            </w:pPr>
          </w:p>
        </w:tc>
        <w:tc>
          <w:tcPr>
            <w:tcW w:w="992" w:type="dxa"/>
            <w:gridSpan w:val="2"/>
            <w:tcBorders>
              <w:top w:val="single" w:color="auto" w:sz="4" w:space="0"/>
            </w:tcBorders>
            <w:vAlign w:val="center"/>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4"/>
            <w:tcBorders>
              <w:top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r>
              <w:rPr>
                <w:rFonts w:ascii="Times New Roman" w:hAnsi="Times New Roman" w:cs="Times New Roman"/>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tabs>
          <w:tab w:val="left" w:pos="288"/>
          <w:tab w:val="left" w:pos="720"/>
        </w:tabs>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『悅』心</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plYr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«plYr»</w:t>
      </w:r>
      <w:r>
        <w:rPr>
          <w:rFonts w:ascii="Times New Roman" w:hAnsi="Times New Roman" w:cs="Times New Roman"/>
          <w:sz w:val="24"/>
          <w:szCs w:val="24"/>
        </w:rPr>
        <w:fldChar w:fldCharType="end"/>
      </w:r>
      <w:r>
        <w:rPr>
          <w:rFonts w:ascii="Times New Roman" w:hAnsi="Times New Roman" w:cs="Times New Roman"/>
          <w:sz w:val="24"/>
          <w:szCs w:val="24"/>
        </w:rPr>
        <w:t>退休保障計劃集人壽及退休儲蓄於一身，當被保人年滿</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plYr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«plYr»</w:t>
      </w:r>
      <w:r>
        <w:rPr>
          <w:rFonts w:ascii="Times New Roman" w:hAnsi="Times New Roman" w:cs="Times New Roman"/>
          <w:sz w:val="24"/>
          <w:szCs w:val="24"/>
        </w:rPr>
        <w:fldChar w:fldCharType="end"/>
      </w:r>
      <w:r>
        <w:rPr>
          <w:rFonts w:ascii="Times New Roman" w:hAnsi="Times New Roman" w:cs="Times New Roman"/>
          <w:sz w:val="24"/>
          <w:szCs w:val="24"/>
        </w:rPr>
        <w:t>歲時，保證可獲得相等於投保金額110%之保證退休現金，讓被保人實現理想的退休生活。</w:t>
      </w:r>
    </w:p>
    <w:p>
      <w:pPr>
        <w:widowControl w:val="0"/>
        <w:spacing w:after="0" w:line="240" w:lineRule="auto"/>
        <w:jc w:val="both"/>
        <w:textAlignment w:val="center"/>
        <w:rPr>
          <w:rFonts w:ascii="Times New Roman" w:hAnsi="Times New Roman" w:cs="Times New Roman"/>
          <w:sz w:val="24"/>
          <w:szCs w:val="24"/>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被保人年滿</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plYr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«plYr»</w:t>
      </w:r>
      <w:r>
        <w:rPr>
          <w:rFonts w:ascii="Times New Roman" w:hAnsi="Times New Roman" w:cs="Times New Roman"/>
          <w:sz w:val="24"/>
          <w:szCs w:val="24"/>
        </w:rPr>
        <w:fldChar w:fldCharType="end"/>
      </w:r>
      <w:r>
        <w:rPr>
          <w:rFonts w:ascii="Times New Roman" w:hAnsi="Times New Roman" w:cs="Times New Roman"/>
          <w:sz w:val="24"/>
          <w:szCs w:val="24"/>
        </w:rPr>
        <w:t>歲後，每3年可持續獲發預期為投保金額10%的退休紅利〔直至被保人達100歲或身故，以較早者為準〕，以應付長期生活開支。被保人並可自由選擇現金提取或積存生息。</w:t>
      </w:r>
    </w:p>
    <w:p>
      <w:pPr>
        <w:widowControl w:val="0"/>
        <w:spacing w:after="0" w:line="240" w:lineRule="auto"/>
        <w:jc w:val="both"/>
        <w:textAlignment w:val="center"/>
        <w:rPr>
          <w:rFonts w:ascii="Times New Roman" w:hAnsi="Times New Roman" w:cs="Times New Roman"/>
          <w:sz w:val="24"/>
          <w:szCs w:val="24"/>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 xml:space="preserve">每年獲發週年紅利，可自由選擇現金提取、積存生息、抵繳保費或購買繳清增值保險。 </w:t>
      </w:r>
    </w:p>
    <w:p>
      <w:pPr>
        <w:widowControl w:val="0"/>
        <w:spacing w:after="0" w:line="240" w:lineRule="auto"/>
        <w:jc w:val="both"/>
        <w:textAlignment w:val="center"/>
        <w:rPr>
          <w:rFonts w:ascii="Times New Roman" w:hAnsi="Times New Roman" w:cs="Times New Roman"/>
          <w:sz w:val="24"/>
          <w:szCs w:val="24"/>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保費只須繳付至</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plYr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«plYr»</w:t>
      </w:r>
      <w:r>
        <w:rPr>
          <w:rFonts w:ascii="Times New Roman" w:hAnsi="Times New Roman" w:cs="Times New Roman"/>
          <w:sz w:val="24"/>
          <w:szCs w:val="24"/>
        </w:rPr>
        <w:fldChar w:fldCharType="end"/>
      </w:r>
      <w:r>
        <w:rPr>
          <w:rFonts w:ascii="Times New Roman" w:hAnsi="Times New Roman" w:cs="Times New Roman"/>
          <w:sz w:val="24"/>
          <w:szCs w:val="24"/>
        </w:rPr>
        <w:t>歲，並保證維持不變，讓被保人在退休後真正輕鬆無憂，對未來更有預算。</w:t>
      </w:r>
    </w:p>
    <w:p>
      <w:pPr>
        <w:widowControl w:val="0"/>
        <w:spacing w:after="0" w:line="240" w:lineRule="auto"/>
        <w:jc w:val="both"/>
        <w:textAlignment w:val="center"/>
        <w:rPr>
          <w:rFonts w:ascii="Times New Roman" w:hAnsi="Times New Roman" w:cs="Times New Roman"/>
          <w:sz w:val="24"/>
          <w:szCs w:val="24"/>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t>保障直至被保人100歲，萬一被保人在</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plYr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«plYr»</w:t>
      </w:r>
      <w:r>
        <w:rPr>
          <w:rFonts w:ascii="Times New Roman" w:hAnsi="Times New Roman" w:cs="Times New Roman"/>
          <w:sz w:val="24"/>
          <w:szCs w:val="24"/>
        </w:rPr>
        <w:fldChar w:fldCharType="end"/>
      </w:r>
      <w:r>
        <w:rPr>
          <w:rFonts w:ascii="Times New Roman" w:hAnsi="Times New Roman" w:cs="Times New Roman"/>
          <w:sz w:val="24"/>
          <w:szCs w:val="24"/>
        </w:rPr>
        <w:t>歲前遭遇不幸，其家人更可獲雙倍投保金額的賠償，以減輕日後之財政負擔。</w:t>
      </w:r>
    </w:p>
    <w:p>
      <w:pPr>
        <w:widowControl w:val="0"/>
        <w:spacing w:after="0" w:line="240" w:lineRule="auto"/>
        <w:rPr>
          <w:rFonts w:ascii="新細明體" w:hAnsi="新細明體" w:cs="MS PGothic"/>
          <w:sz w:val="12"/>
          <w:szCs w:val="12"/>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ind w:left="426"/>
        <w:rPr>
          <w:rFonts w:ascii="新細明體" w:hAnsi="新細明體" w:cs="SimSun"/>
          <w:sz w:val="28"/>
          <w:szCs w:val="28"/>
        </w:rPr>
      </w:pPr>
    </w:p>
    <w:p>
      <w:pPr>
        <w:spacing w:after="0"/>
        <w:rPr>
          <w:rFonts w:ascii="新細明體" w:hAnsi="新細明體" w:cs="SimSun"/>
          <w:sz w:val="28"/>
          <w:szCs w:val="28"/>
        </w:rPr>
      </w:pPr>
      <w:r>
        <w:rPr>
          <w:rFonts w:ascii="新細明體" w:hAnsi="新細明體" w:cs="SimSun"/>
          <w:sz w:val="28"/>
          <w:szCs w:val="28"/>
        </w:rPr>
        <w:br w:type="page"/>
      </w:r>
    </w:p>
    <w:p>
      <w:pPr>
        <w:widowControl w:val="0"/>
        <w:spacing w:after="0" w:line="240" w:lineRule="auto"/>
        <w:rPr>
          <w:rFonts w:ascii="新細明體" w:hAnsi="新細明體" w:cs="SimSun"/>
          <w:sz w:val="24"/>
          <w:szCs w:val="24"/>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textAlignment w:val="center"/>
        <w:rPr>
          <w:rFonts w:ascii="新細明體" w:hAnsi="新細明體"/>
          <w:sz w:val="24"/>
          <w:szCs w:val="24"/>
        </w:rPr>
      </w:pPr>
    </w:p>
    <w:tbl>
      <w:tblPr>
        <w:tblStyle w:val="9"/>
        <w:tblW w:w="10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454"/>
        <w:gridCol w:w="1123"/>
        <w:gridCol w:w="2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若不幸於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歲前身故</w:t>
            </w:r>
          </w:p>
        </w:tc>
        <w:tc>
          <w:tcPr>
            <w:tcW w:w="345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12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atAgeBeforeSA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«atAgeBeforeSA»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w:t>
            </w:r>
            <w:r>
              <w:rPr>
                <w:rFonts w:ascii="Times New Roman" w:hAnsi="Times New Roman" w:cs="Times New Roman"/>
                <w:sz w:val="24"/>
                <w:szCs w:val="24"/>
              </w:rPr>
              <w:t>另加</w:t>
            </w:r>
            <w:r>
              <w:rPr>
                <w:rFonts w:hint="eastAsia" w:ascii="Times New Roman" w:hAnsi="Times New Roman" w:cs="Times New Roman"/>
                <w:sz w:val="24"/>
                <w:szCs w:val="24"/>
                <w:lang w:val="en-US" w:eastAsia="zh-CN"/>
              </w:rPr>
              <w:t>累積紅利及利息</w:t>
            </w:r>
            <w:r>
              <w:rPr>
                <w:rFonts w:ascii="Times New Roman" w:hAnsi="Times New Roman" w:cs="Times New Roman"/>
                <w:sz w:val="24"/>
                <w:szCs w:val="24"/>
              </w:rPr>
              <w:t>〕</w:t>
            </w: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若不幸於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歲或其後身故</w:t>
            </w:r>
          </w:p>
        </w:tc>
        <w:tc>
          <w:tcPr>
            <w:tcW w:w="345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123" w:type="dxa"/>
            <w:vAlign w:val="center"/>
          </w:tcPr>
          <w:p>
            <w:pPr>
              <w:widowControl w:val="0"/>
              <w:spacing w:after="0" w:line="240" w:lineRule="auto"/>
              <w:jc w:val="right"/>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〔另加</w:t>
            </w:r>
            <w:r>
              <w:rPr>
                <w:rFonts w:hint="eastAsia" w:ascii="Times New Roman" w:hAnsi="Times New Roman" w:cs="Times New Roman"/>
                <w:sz w:val="24"/>
                <w:szCs w:val="24"/>
                <w:lang w:val="en-US" w:eastAsia="zh-CN"/>
              </w:rPr>
              <w:t>累積紅利及利息</w:t>
            </w:r>
            <w:r>
              <w:rPr>
                <w:rFonts w:ascii="Times New Roman" w:hAnsi="Times New Roman" w:cs="Times New Roman"/>
                <w:color w:val="000000"/>
                <w:sz w:val="24"/>
                <w:szCs w:val="24"/>
              </w:rPr>
              <w:t>、</w:t>
            </w: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積存保證退休現金</w:t>
            </w: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及積存退休紅利〕</w:t>
            </w: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歲退休時</w:t>
            </w:r>
          </w:p>
        </w:tc>
        <w:tc>
          <w:tcPr>
            <w:tcW w:w="3454"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可取得現金總值</w:t>
            </w:r>
          </w:p>
        </w:tc>
        <w:tc>
          <w:tcPr>
            <w:tcW w:w="112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ind w:left="755" w:hanging="755"/>
              <w:textAlignment w:val="center"/>
              <w:rPr>
                <w:rFonts w:ascii="Times New Roman" w:hAnsi="Times New Roman" w:cs="Times New Roman"/>
                <w:sz w:val="24"/>
                <w:szCs w:val="24"/>
              </w:rPr>
            </w:pPr>
            <w:r>
              <w:rPr>
                <w:rFonts w:ascii="Times New Roman" w:hAnsi="Times New Roman" w:cs="Times New Roman"/>
                <w:sz w:val="24"/>
                <w:szCs w:val="24"/>
              </w:rPr>
              <w:t>包括 :</w:t>
            </w:r>
            <w:r>
              <w:rPr>
                <w:rFonts w:ascii="Times New Roman" w:hAnsi="Times New Roman" w:cs="Times New Roman"/>
                <w:sz w:val="24"/>
                <w:szCs w:val="24"/>
              </w:rPr>
              <w:tab/>
            </w:r>
            <w:r>
              <w:rPr>
                <w:rFonts w:ascii="Times New Roman" w:hAnsi="Times New Roman" w:cs="Times New Roman"/>
                <w:sz w:val="24"/>
                <w:szCs w:val="24"/>
              </w:rPr>
              <w:t>保證現金價值</w:t>
            </w: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atAgeCsv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«atAgeCsv»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ind w:left="755"/>
              <w:textAlignment w:val="center"/>
              <w:rPr>
                <w:rFonts w:ascii="Times New Roman" w:hAnsi="Times New Roman" w:cs="Times New Roman"/>
                <w:sz w:val="24"/>
                <w:szCs w:val="24"/>
              </w:rPr>
            </w:pPr>
            <w:r>
              <w:rPr>
                <w:rFonts w:ascii="Times New Roman" w:hAnsi="Times New Roman" w:cs="Times New Roman"/>
                <w:sz w:val="24"/>
                <w:szCs w:val="24"/>
              </w:rPr>
              <w:t>保證退休現金</w:t>
            </w: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atAgeCsh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«atAgeCsh»</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ind w:left="755"/>
              <w:textAlignment w:val="center"/>
              <w:rPr>
                <w:rFonts w:ascii="Times New Roman" w:hAnsi="Times New Roman" w:cs="Times New Roman"/>
                <w:sz w:val="24"/>
                <w:szCs w:val="24"/>
              </w:rPr>
            </w:pPr>
            <w:r>
              <w:rPr>
                <w:rFonts w:hint="eastAsia" w:ascii="Times New Roman" w:hAnsi="Times New Roman" w:cs="Times New Roman"/>
                <w:sz w:val="24"/>
                <w:szCs w:val="24"/>
                <w:lang w:val="en-US" w:eastAsia="zh-CN"/>
              </w:rPr>
              <w:t>累積紅利及利息</w:t>
            </w: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atAgeDiv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«atAgeDiv»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ind w:right="-108"/>
              <w:textAlignment w:val="center"/>
              <w:rPr>
                <w:rFonts w:ascii="Times New Roman" w:hAnsi="Times New Roman" w:cs="Times New Roman"/>
                <w:sz w:val="24"/>
                <w:szCs w:val="24"/>
              </w:rPr>
            </w:pPr>
            <w:r>
              <w:rPr>
                <w:rFonts w:ascii="Times New Roman" w:hAnsi="Times New Roman" w:cs="Times New Roman"/>
                <w:sz w:val="24"/>
                <w:szCs w:val="24"/>
              </w:rPr>
              <w:t>共付保費</w:t>
            </w:r>
          </w:p>
        </w:tc>
        <w:tc>
          <w:tcPr>
            <w:tcW w:w="1123" w:type="dxa"/>
            <w:vAlign w:val="center"/>
          </w:tcPr>
          <w:p>
            <w:pPr>
              <w:widowControl w:val="0"/>
              <w:spacing w:after="0" w:line="240" w:lineRule="auto"/>
              <w:ind w:right="-108"/>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atAgeTotalPaid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«atAgeTotalPaid»</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ind w:right="-108"/>
              <w:textAlignment w:val="center"/>
              <w:rPr>
                <w:rFonts w:ascii="Times New Roman" w:hAnsi="Times New Roman" w:cs="Times New Roman"/>
                <w:sz w:val="24"/>
                <w:szCs w:val="24"/>
              </w:rPr>
            </w:pPr>
            <w:r>
              <w:rPr>
                <w:rFonts w:ascii="Times New Roman" w:hAnsi="Times New Roman" w:cs="Times New Roman"/>
                <w:sz w:val="24"/>
                <w:szCs w:val="24"/>
              </w:rPr>
              <w:t>盈利</w:t>
            </w:r>
          </w:p>
        </w:tc>
        <w:tc>
          <w:tcPr>
            <w:tcW w:w="1123" w:type="dxa"/>
            <w:vAlign w:val="center"/>
          </w:tcPr>
          <w:p>
            <w:pPr>
              <w:widowControl w:val="0"/>
              <w:spacing w:after="0" w:line="240" w:lineRule="auto"/>
              <w:ind w:right="-108"/>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atAgeNet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«atAgeNet»</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454" w:type="dxa"/>
            <w:vAlign w:val="center"/>
          </w:tcPr>
          <w:p>
            <w:pPr>
              <w:widowControl w:val="0"/>
              <w:spacing w:after="0" w:line="240" w:lineRule="auto"/>
              <w:textAlignment w:val="center"/>
              <w:rPr>
                <w:rFonts w:ascii="Times New Roman" w:hAnsi="Times New Roman" w:cs="Times New Roman"/>
                <w:sz w:val="24"/>
                <w:szCs w:val="24"/>
              </w:rPr>
            </w:pP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歲退休後</w:t>
            </w:r>
          </w:p>
        </w:tc>
        <w:tc>
          <w:tcPr>
            <w:tcW w:w="3454" w:type="dxa"/>
            <w:vAlign w:val="center"/>
          </w:tcPr>
          <w:p>
            <w:pPr>
              <w:widowControl w:val="0"/>
              <w:spacing w:after="0" w:line="240" w:lineRule="auto"/>
              <w:ind w:right="-108"/>
              <w:textAlignment w:val="center"/>
              <w:rPr>
                <w:rFonts w:ascii="Times New Roman" w:hAnsi="Times New Roman" w:cs="Times New Roman"/>
                <w:sz w:val="24"/>
                <w:szCs w:val="24"/>
              </w:rPr>
            </w:pPr>
            <w:r>
              <w:rPr>
                <w:rFonts w:ascii="Times New Roman" w:hAnsi="Times New Roman" w:cs="Times New Roman"/>
                <w:sz w:val="24"/>
                <w:szCs w:val="24"/>
              </w:rPr>
              <w:t>每3年可取得退休紅利</w:t>
            </w:r>
          </w:p>
        </w:tc>
        <w:tc>
          <w:tcPr>
            <w:tcW w:w="1123" w:type="dxa"/>
            <w:vAlign w:val="center"/>
          </w:tcPr>
          <w:p>
            <w:pPr>
              <w:widowControl w:val="0"/>
              <w:spacing w:after="0" w:line="240" w:lineRule="auto"/>
              <w:ind w:right="-108"/>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atAgeAfterDiv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«atAgeAfterDiv»</w:t>
            </w:r>
            <w:r>
              <w:rPr>
                <w:rFonts w:ascii="Times New Roman" w:hAnsi="Times New Roman" w:cs="Times New Roman"/>
                <w:sz w:val="24"/>
                <w:szCs w:val="24"/>
              </w:rPr>
              <w:fldChar w:fldCharType="end"/>
            </w:r>
          </w:p>
        </w:tc>
      </w:tr>
    </w:tbl>
    <w:p>
      <w:pPr>
        <w:widowControl w:val="0"/>
        <w:spacing w:after="0" w:line="240" w:lineRule="auto"/>
        <w:textAlignment w:val="center"/>
        <w:rPr>
          <w:rFonts w:ascii="新細明體" w:hAnsi="新細明體"/>
          <w:sz w:val="24"/>
          <w:szCs w:val="24"/>
        </w:rPr>
      </w:pPr>
    </w:p>
    <w:p>
      <w:pPr>
        <w:widowControl w:val="0"/>
        <w:spacing w:after="0" w:line="240" w:lineRule="auto"/>
        <w:textAlignment w:val="center"/>
        <w:rPr>
          <w:rFonts w:ascii="新細明體" w:hAnsi="新細明體"/>
          <w:sz w:val="16"/>
          <w:szCs w:val="16"/>
        </w:rPr>
      </w:pPr>
    </w:p>
    <w:tbl>
      <w:tblPr>
        <w:tblStyle w:val="9"/>
        <w:tblW w:w="10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454"/>
        <w:gridCol w:w="1123"/>
        <w:gridCol w:w="2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53" w:type="dxa"/>
            <w:vAlign w:val="center"/>
          </w:tcPr>
          <w:p>
            <w:pPr>
              <w:widowControl w:val="0"/>
              <w:spacing w:after="0" w:line="240" w:lineRule="auto"/>
              <w:textAlignment w:val="center"/>
              <w:rPr>
                <w:rFonts w:ascii="Times New Roman" w:hAnsi="Times New Roman" w:cs="Times New Roman"/>
                <w:b/>
                <w:sz w:val="24"/>
                <w:szCs w:val="24"/>
              </w:rPr>
            </w:pPr>
            <w:r>
              <w:rPr>
                <w:rFonts w:ascii="Times New Roman" w:hAnsi="Times New Roman" w:cs="Times New Roman"/>
                <w:b/>
                <w:sz w:val="24"/>
                <w:szCs w:val="24"/>
              </w:rPr>
              <w:t>豁免保費保障</w:t>
            </w:r>
          </w:p>
        </w:tc>
        <w:tc>
          <w:tcPr>
            <w:tcW w:w="3454" w:type="dxa"/>
            <w:vAlign w:val="center"/>
          </w:tcPr>
          <w:p>
            <w:pPr>
              <w:widowControl w:val="0"/>
              <w:spacing w:after="0" w:line="240" w:lineRule="auto"/>
              <w:textAlignment w:val="center"/>
              <w:rPr>
                <w:rFonts w:ascii="Times New Roman" w:hAnsi="Times New Roman" w:cs="Times New Roman"/>
                <w:sz w:val="24"/>
                <w:szCs w:val="24"/>
              </w:rPr>
            </w:pPr>
          </w:p>
        </w:tc>
        <w:tc>
          <w:tcPr>
            <w:tcW w:w="1123" w:type="dxa"/>
            <w:vAlign w:val="center"/>
          </w:tcPr>
          <w:p>
            <w:pPr>
              <w:widowControl w:val="0"/>
              <w:spacing w:after="0" w:line="240" w:lineRule="auto"/>
              <w:textAlignment w:val="center"/>
              <w:rPr>
                <w:rFonts w:ascii="Times New Roman" w:hAnsi="Times New Roman" w:cs="Times New Roman"/>
                <w:sz w:val="24"/>
                <w:szCs w:val="24"/>
              </w:rPr>
            </w:pPr>
          </w:p>
        </w:tc>
        <w:tc>
          <w:tcPr>
            <w:tcW w:w="2285" w:type="dxa"/>
            <w:vAlign w:val="center"/>
          </w:tcPr>
          <w:p>
            <w:pPr>
              <w:widowControl w:val="0"/>
              <w:spacing w:after="0" w:line="240" w:lineRule="auto"/>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715" w:type="dxa"/>
            <w:gridSpan w:val="4"/>
            <w:vAlign w:val="center"/>
          </w:tcPr>
          <w:p>
            <w:pPr>
              <w:widowControl w:val="0"/>
              <w:spacing w:after="0" w:line="240" w:lineRule="auto"/>
              <w:ind w:left="318"/>
              <w:textAlignment w:val="center"/>
              <w:rPr>
                <w:rFonts w:ascii="Times New Roman" w:hAnsi="Times New Roman" w:cs="Times New Roman"/>
                <w:sz w:val="24"/>
                <w:szCs w:val="24"/>
              </w:rPr>
            </w:pPr>
          </w:p>
          <w:p>
            <w:pPr>
              <w:widowControl w:val="0"/>
              <w:spacing w:after="0" w:line="240" w:lineRule="auto"/>
              <w:ind w:left="318"/>
              <w:jc w:val="both"/>
              <w:textAlignment w:val="center"/>
              <w:rPr>
                <w:rFonts w:ascii="Times New Roman" w:hAnsi="Times New Roman" w:cs="Times New Roman"/>
                <w:sz w:val="24"/>
                <w:szCs w:val="24"/>
              </w:rPr>
            </w:pPr>
            <w:r>
              <w:rPr>
                <w:rFonts w:ascii="Times New Roman" w:hAnsi="Times New Roman" w:cs="Times New Roman"/>
                <w:sz w:val="24"/>
                <w:szCs w:val="24"/>
              </w:rPr>
              <w:t>若被保人於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plWPAge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«plWPAge»</w:t>
            </w:r>
            <w:r>
              <w:rPr>
                <w:rFonts w:ascii="Times New Roman" w:hAnsi="Times New Roman" w:cs="Times New Roman"/>
                <w:sz w:val="24"/>
                <w:szCs w:val="24"/>
              </w:rPr>
              <w:fldChar w:fldCharType="end"/>
            </w:r>
            <w:r>
              <w:rPr>
                <w:rFonts w:ascii="Times New Roman" w:hAnsi="Times New Roman" w:cs="Times New Roman"/>
                <w:sz w:val="24"/>
                <w:szCs w:val="24"/>
              </w:rPr>
              <w:t>歲前因意外或疾病導致完全及永久傷殘，以致連續六個月或以上喪失工作能力，我們將豁免基本壽險計劃之保費，直至痊癒為止。豁免保費期間計劃仍然維持生效。</w:t>
            </w:r>
          </w:p>
        </w:tc>
      </w:tr>
    </w:tbl>
    <w:p>
      <w:pPr>
        <w:widowControl w:val="0"/>
        <w:spacing w:after="0" w:line="240" w:lineRule="auto"/>
        <w:rPr>
          <w:rFonts w:ascii="新細明體" w:hAnsi="新細明體" w:cs="MS PGothic"/>
          <w:sz w:val="12"/>
          <w:szCs w:val="12"/>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sectPr>
          <w:headerReference r:id="rId5"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48"/>
        <w:gridCol w:w="1043"/>
        <w:gridCol w:w="298"/>
        <w:gridCol w:w="893"/>
        <w:gridCol w:w="445"/>
        <w:gridCol w:w="746"/>
        <w:gridCol w:w="590"/>
        <w:gridCol w:w="311"/>
        <w:gridCol w:w="290"/>
        <w:gridCol w:w="739"/>
        <w:gridCol w:w="452"/>
        <w:gridCol w:w="504"/>
        <w:gridCol w:w="405"/>
        <w:gridCol w:w="282"/>
        <w:gridCol w:w="309"/>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763" w:type="dxa"/>
            <w:gridSpan w:val="19"/>
            <w:tcBorders>
              <w:top w:val="nil"/>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ascii="新細明體" w:hAnsi="新細明體" w:cs="SimSun"/>
                <w:b/>
                <w:bCs/>
                <w:sz w:val="18"/>
                <w:szCs w:val="20"/>
              </w:rPr>
              <w:t xml:space="preserve">1. </w:t>
            </w:r>
            <w:r>
              <w:rPr>
                <w:rFonts w:hint="eastAsia" w:ascii="新細明體" w:hAnsi="新細明體" w:cs="SimSun"/>
                <w:b/>
                <w:bCs/>
                <w:sz w:val="18"/>
                <w:szCs w:val="20"/>
              </w:rPr>
              <w:t>『悅』心</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plYr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«plYr»</w:t>
            </w:r>
            <w:r>
              <w:rPr>
                <w:rFonts w:hint="eastAsia" w:ascii="新細明體" w:hAnsi="新細明體" w:cs="SimSun"/>
                <w:b/>
                <w:bCs/>
                <w:sz w:val="18"/>
                <w:szCs w:val="20"/>
              </w:rPr>
              <w:fldChar w:fldCharType="end"/>
            </w:r>
            <w:r>
              <w:rPr>
                <w:rFonts w:hint="eastAsia" w:ascii="新細明體" w:hAnsi="新細明體" w:cs="SimSun"/>
                <w:b/>
                <w:bCs/>
                <w:sz w:val="18"/>
                <w:szCs w:val="20"/>
              </w:rPr>
              <w:t>退休保障計劃 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cs="SimSun"/>
                <w:b/>
                <w:bCs/>
                <w:sz w:val="18"/>
                <w:szCs w:val="20"/>
              </w:rPr>
              <w:t xml:space="preserve">2. 基本計劃摘要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5"/>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3</w:t>
            </w:r>
            <w:r>
              <w:rPr>
                <w:rFonts w:hint="eastAsia" w:ascii="新細明體" w:hAnsi="新細明體" w:cs="SimSun"/>
                <w:b/>
                <w:bCs/>
                <w:sz w:val="18"/>
                <w:szCs w:val="20"/>
              </w:rPr>
              <w:t xml:space="preserve">. 保障摘要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11"/>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保障項目</w:t>
            </w:r>
          </w:p>
        </w:tc>
        <w:tc>
          <w:tcPr>
            <w:tcW w:w="2699"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single" w:color="auto" w:sz="4" w:space="0"/>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hint="eastAsia" w:ascii="新細明體" w:hAnsi="新細明體" w:cs="SimSun"/>
                <w:sz w:val="18"/>
                <w:szCs w:val="18"/>
              </w:rPr>
              <w:t>基本計劃</w:t>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hint="eastAsia" w:ascii="新細明體" w:hAnsi="新細明體" w:cs="Arial"/>
                <w:bCs/>
                <w:sz w:val="18"/>
                <w:szCs w:val="18"/>
              </w:rPr>
              <w:t>『悅』心</w:t>
            </w:r>
            <w:r>
              <w:rPr>
                <w:rFonts w:ascii="新細明體" w:hAnsi="新細明體" w:cs="Arial"/>
                <w:bCs/>
                <w:sz w:val="18"/>
                <w:szCs w:val="18"/>
              </w:rPr>
              <w:fldChar w:fldCharType="begin"/>
            </w:r>
            <w:r>
              <w:rPr>
                <w:rFonts w:ascii="新細明體" w:hAnsi="新細明體" w:cs="Arial"/>
                <w:bCs/>
                <w:sz w:val="18"/>
                <w:szCs w:val="18"/>
              </w:rPr>
              <w:instrText xml:space="preserve"> </w:instrText>
            </w:r>
            <w:r>
              <w:rPr>
                <w:rFonts w:hint="eastAsia" w:ascii="新細明體" w:hAnsi="新細明體" w:cs="Arial"/>
                <w:bCs/>
                <w:sz w:val="18"/>
                <w:szCs w:val="18"/>
              </w:rPr>
              <w:instrText xml:space="preserve">MERGEFIELD  plYr  \* MERGEFORMAT</w:instrText>
            </w:r>
            <w:r>
              <w:rPr>
                <w:rFonts w:ascii="新細明體" w:hAnsi="新細明體" w:cs="Arial"/>
                <w:bCs/>
                <w:sz w:val="18"/>
                <w:szCs w:val="18"/>
              </w:rPr>
              <w:instrText xml:space="preserve"> </w:instrText>
            </w:r>
            <w:r>
              <w:rPr>
                <w:rFonts w:ascii="新細明體" w:hAnsi="新細明體" w:cs="Arial"/>
                <w:bCs/>
                <w:sz w:val="18"/>
                <w:szCs w:val="18"/>
              </w:rPr>
              <w:fldChar w:fldCharType="separate"/>
            </w:r>
            <w:r>
              <w:rPr>
                <w:rFonts w:ascii="新細明體" w:hAnsi="新細明體" w:cs="Arial"/>
                <w:bCs/>
                <w:sz w:val="18"/>
                <w:szCs w:val="18"/>
              </w:rPr>
              <w:t>«plYr»</w:t>
            </w:r>
            <w:r>
              <w:rPr>
                <w:rFonts w:ascii="新細明體" w:hAnsi="新細明體" w:cs="Arial"/>
                <w:bCs/>
                <w:sz w:val="18"/>
                <w:szCs w:val="18"/>
              </w:rPr>
              <w:fldChar w:fldCharType="end"/>
            </w:r>
            <w:r>
              <w:rPr>
                <w:rFonts w:hint="eastAsia" w:ascii="新細明體" w:hAnsi="新細明體" w:cs="Arial"/>
                <w:bCs/>
                <w:sz w:val="18"/>
                <w:szCs w:val="18"/>
              </w:rPr>
              <w:t>退休保障計劃</w:t>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9"/>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6"/>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9"/>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6"/>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4. 保費摘要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保費項目</w:t>
            </w:r>
          </w:p>
        </w:tc>
        <w:tc>
          <w:tcPr>
            <w:tcW w:w="5355" w:type="dxa"/>
            <w:gridSpan w:val="9"/>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投保時之保費</w:t>
            </w:r>
          </w:p>
        </w:tc>
        <w:tc>
          <w:tcPr>
            <w:tcW w:w="956"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繳費模式</w:t>
            </w:r>
          </w:p>
        </w:tc>
        <w:tc>
          <w:tcPr>
            <w:tcW w:w="996" w:type="dxa"/>
            <w:gridSpan w:val="3"/>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40"/>
              <w:jc w:val="center"/>
              <w:textAlignment w:val="auto"/>
              <w:rPr>
                <w:rFonts w:ascii="新細明體" w:hAnsi="新細明體" w:cs="SimSun"/>
                <w:sz w:val="18"/>
                <w:szCs w:val="18"/>
              </w:rPr>
            </w:pPr>
          </w:p>
        </w:tc>
        <w:tc>
          <w:tcPr>
            <w:tcW w:w="5355" w:type="dxa"/>
            <w:gridSpan w:val="9"/>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956"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108"/>
              <w:jc w:val="right"/>
              <w:textAlignment w:val="auto"/>
              <w:rPr>
                <w:rFonts w:ascii="新細明體" w:hAnsi="新細明體" w:cs="SimSun"/>
                <w:sz w:val="18"/>
                <w:szCs w:val="18"/>
              </w:rPr>
            </w:pPr>
          </w:p>
        </w:tc>
        <w:tc>
          <w:tcPr>
            <w:tcW w:w="996" w:type="dxa"/>
            <w:gridSpan w:val="3"/>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right"/>
              <w:textAlignment w:val="auto"/>
              <w:rPr>
                <w:rFonts w:ascii="新細明體" w:hAnsi="新細明體" w:cs="SimSun"/>
                <w:sz w:val="18"/>
                <w:szCs w:val="18"/>
              </w:rPr>
            </w:pPr>
          </w:p>
        </w:tc>
        <w:tc>
          <w:tcPr>
            <w:tcW w:w="113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4326" w:type="dxa"/>
            <w:gridSpan w:val="7"/>
            <w:tcBorders>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029" w:type="dxa"/>
            <w:gridSpan w:val="2"/>
            <w:tcBorders>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56"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96" w:type="dxa"/>
            <w:gridSpan w:val="3"/>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130"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987" w:type="dxa"/>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hint="eastAsia" w:ascii="新細明體" w:hAnsi="新細明體" w:cs="Arial"/>
                <w:bCs/>
                <w:sz w:val="18"/>
                <w:szCs w:val="18"/>
              </w:rPr>
              <w:t>『悅』心</w:t>
            </w:r>
            <w:r>
              <w:rPr>
                <w:rFonts w:ascii="新細明體" w:hAnsi="新細明體" w:cs="Arial"/>
                <w:bCs/>
                <w:sz w:val="18"/>
                <w:szCs w:val="18"/>
              </w:rPr>
              <w:fldChar w:fldCharType="begin"/>
            </w:r>
            <w:r>
              <w:rPr>
                <w:rFonts w:ascii="新細明體" w:hAnsi="新細明體" w:cs="Arial"/>
                <w:bCs/>
                <w:sz w:val="18"/>
                <w:szCs w:val="18"/>
              </w:rPr>
              <w:instrText xml:space="preserve"> </w:instrText>
            </w:r>
            <w:r>
              <w:rPr>
                <w:rFonts w:hint="eastAsia" w:ascii="新細明體" w:hAnsi="新細明體" w:cs="Arial"/>
                <w:bCs/>
                <w:sz w:val="18"/>
                <w:szCs w:val="18"/>
              </w:rPr>
              <w:instrText xml:space="preserve">MERGEFIELD  plYr  \* MERGEFORMAT</w:instrText>
            </w:r>
            <w:r>
              <w:rPr>
                <w:rFonts w:ascii="新細明體" w:hAnsi="新細明體" w:cs="Arial"/>
                <w:bCs/>
                <w:sz w:val="18"/>
                <w:szCs w:val="18"/>
              </w:rPr>
              <w:instrText xml:space="preserve"> </w:instrText>
            </w:r>
            <w:r>
              <w:rPr>
                <w:rFonts w:ascii="新細明體" w:hAnsi="新細明體" w:cs="Arial"/>
                <w:bCs/>
                <w:sz w:val="18"/>
                <w:szCs w:val="18"/>
              </w:rPr>
              <w:fldChar w:fldCharType="separate"/>
            </w:r>
            <w:r>
              <w:rPr>
                <w:rFonts w:ascii="新細明體" w:hAnsi="新細明體" w:cs="Arial"/>
                <w:bCs/>
                <w:sz w:val="18"/>
                <w:szCs w:val="18"/>
              </w:rPr>
              <w:t>«plYr»</w:t>
            </w:r>
            <w:r>
              <w:rPr>
                <w:rFonts w:ascii="新細明體" w:hAnsi="新細明體" w:cs="Arial"/>
                <w:bCs/>
                <w:sz w:val="18"/>
                <w:szCs w:val="18"/>
              </w:rPr>
              <w:fldChar w:fldCharType="end"/>
            </w:r>
            <w:r>
              <w:rPr>
                <w:rFonts w:hint="eastAsia" w:ascii="新細明體" w:hAnsi="新細明體" w:cs="Arial"/>
                <w:bCs/>
                <w:sz w:val="18"/>
                <w:szCs w:val="18"/>
              </w:rPr>
              <w:t>退休保障計劃</w:t>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7"/>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gridSpan w:val="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13" w:right="-40"/>
              <w:jc w:val="center"/>
              <w:textAlignment w:val="auto"/>
              <w:rPr>
                <w:rFonts w:ascii="新細明體" w:hAnsi="新細明體" w:cs="SimSun"/>
                <w:sz w:val="2"/>
                <w:szCs w:val="2"/>
              </w:rPr>
            </w:pPr>
          </w:p>
        </w:tc>
        <w:tc>
          <w:tcPr>
            <w:tcW w:w="4326" w:type="dxa"/>
            <w:gridSpan w:val="7"/>
            <w:tcBorders>
              <w:top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37" w:right="-108"/>
              <w:textAlignment w:val="auto"/>
              <w:rPr>
                <w:rFonts w:ascii="新細明體" w:hAnsi="新細明體" w:cs="SimSun"/>
                <w:sz w:val="2"/>
                <w:szCs w:val="2"/>
              </w:rPr>
            </w:pPr>
          </w:p>
        </w:tc>
        <w:tc>
          <w:tcPr>
            <w:tcW w:w="1029" w:type="dxa"/>
            <w:gridSpan w:val="2"/>
            <w:tcBorders>
              <w:top w:val="nil"/>
              <w:lef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56"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96" w:type="dxa"/>
            <w:gridSpan w:val="3"/>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1130"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87" w:type="dxa"/>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保費總額</w:t>
            </w:r>
          </w:p>
        </w:tc>
        <w:tc>
          <w:tcPr>
            <w:tcW w:w="4326" w:type="dxa"/>
            <w:gridSpan w:val="7"/>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8"/>
              </w:rPr>
            </w:pPr>
          </w:p>
        </w:tc>
        <w:tc>
          <w:tcPr>
            <w:tcW w:w="1029" w:type="dxa"/>
            <w:gridSpan w:val="2"/>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96"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1130"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87" w:type="dxa"/>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9"/>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5. 基本計劃　說明摘要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basicPlan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«basicPlan»</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 xml:space="preserve">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保單年度</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完結</w:t>
            </w:r>
          </w:p>
        </w:tc>
        <w:tc>
          <w:tcPr>
            <w:tcW w:w="1341"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已繳保費</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總和</w:t>
            </w:r>
          </w:p>
        </w:tc>
        <w:tc>
          <w:tcPr>
            <w:tcW w:w="4014" w:type="dxa"/>
            <w:gridSpan w:val="7"/>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現金價值</w:t>
            </w:r>
          </w:p>
        </w:tc>
        <w:tc>
          <w:tcPr>
            <w:tcW w:w="4069" w:type="dxa"/>
            <w:gridSpan w:val="8"/>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41" w:type="dxa"/>
            <w:gridSpan w:val="2"/>
            <w:vMerge w:val="continue"/>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p>
        </w:tc>
        <w:tc>
          <w:tcPr>
            <w:tcW w:w="1338"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40"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c>
          <w:tcPr>
            <w:tcW w:w="1361"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38" w:type="dxa"/>
            <w:gridSpan w:val="3"/>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3"/>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spacing w:after="0"/>
        <w:rPr>
          <w:rFonts w:ascii="新細明體" w:hAnsi="新細明體" w:cs="SimSun"/>
          <w:sz w:val="20"/>
          <w:szCs w:val="20"/>
        </w:rPr>
        <w:sectPr>
          <w:headerReference r:id="rId6"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r>
        <w:rPr>
          <w:rFonts w:ascii="新細明體" w:hAnsi="新細明體" w:cs="SimSun"/>
          <w:sz w:val="20"/>
          <w:szCs w:val="20"/>
        </w:rPr>
        <w:br w:type="page"/>
      </w: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4"/>
        <w:gridCol w:w="1187"/>
        <w:gridCol w:w="9"/>
        <w:gridCol w:w="1182"/>
        <w:gridCol w:w="14"/>
        <w:gridCol w:w="1177"/>
        <w:gridCol w:w="566"/>
        <w:gridCol w:w="625"/>
        <w:gridCol w:w="1191"/>
        <w:gridCol w:w="1191"/>
        <w:gridCol w:w="623"/>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eastAsia="SimSun" w:cs="SimSun"/>
                <w:sz w:val="18"/>
                <w:szCs w:val="20"/>
                <w:lang w:val="en-US" w:eastAsia="zh-CN"/>
              </w:rPr>
            </w:pPr>
            <w:r>
              <w:rPr>
                <w:rFonts w:hint="eastAsia" w:ascii="新細明體" w:hAnsi="新細明體" w:cs="SimSun"/>
                <w:b/>
                <w:sz w:val="18"/>
                <w:szCs w:val="18"/>
              </w:rPr>
              <w:t>下表旨在說明在悲觀及樂觀情景下對現金價值總額</w:t>
            </w:r>
            <w:r>
              <w:rPr>
                <w:rFonts w:hint="eastAsia" w:ascii="新細明體" w:hAnsi="新細明體" w:cs="SimSun"/>
                <w:b/>
                <w:sz w:val="18"/>
                <w:szCs w:val="18"/>
                <w:lang w:eastAsia="zh-CN"/>
              </w:rPr>
              <w:t>及身故賠償總額</w:t>
            </w:r>
            <w:r>
              <w:rPr>
                <w:rFonts w:hint="eastAsia" w:ascii="新細明體" w:hAnsi="新細明體" w:cs="SimSun"/>
                <w:b/>
                <w:sz w:val="18"/>
                <w:szCs w:val="18"/>
              </w:rPr>
              <w:t>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3"/>
            <w:tcBorders>
              <w:top w:val="single" w:color="auto" w:sz="4" w:space="0"/>
              <w:left w:val="nil"/>
              <w:right w:val="nil"/>
            </w:tcBorders>
            <w:vAlign w:val="center"/>
          </w:tcPr>
          <w:p>
            <w:pPr>
              <w:keepNext w:val="0"/>
              <w:keepLines w:val="0"/>
              <w:pageBreakBefore w:val="0"/>
              <w:widowControl/>
              <w:kinsoku/>
              <w:wordWrap/>
              <w:overflowPunct/>
              <w:topLinePunct w:val="0"/>
              <w:autoSpaceDE w:val="0"/>
              <w:autoSpaceDN w:val="0"/>
              <w:bidi w:val="0"/>
              <w:adjustRightInd/>
              <w:snapToGrid/>
              <w:spacing w:after="0" w:line="280" w:lineRule="exact"/>
              <w:ind w:left="-44" w:leftChars="-20"/>
              <w:textAlignment w:val="auto"/>
              <w:outlineLvl w:val="9"/>
              <w:rPr>
                <w:rFonts w:hint="eastAsia" w:ascii="新細明體" w:hAnsi="新細明體" w:cs="SimSun"/>
                <w:sz w:val="18"/>
                <w:szCs w:val="20"/>
              </w:rPr>
            </w:pPr>
            <w:r>
              <w:rPr>
                <w:rFonts w:hint="eastAsia" w:ascii="新細明體" w:hAnsi="新細明體" w:cs="SimSun"/>
                <w:b/>
                <w:bCs/>
                <w:sz w:val="18"/>
                <w:szCs w:val="20"/>
                <w:lang w:val="en-US" w:eastAsia="zh-CN"/>
              </w:rPr>
              <w:t xml:space="preserve">6. 基本計劃一不同投資回報下的說明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保單年度</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已繳保費</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總和</w:t>
            </w:r>
          </w:p>
        </w:tc>
        <w:tc>
          <w:tcPr>
            <w:tcW w:w="8372" w:type="dxa"/>
            <w:gridSpan w:val="9"/>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restart"/>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3559" w:type="dxa"/>
            <w:gridSpan w:val="4"/>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3"/>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textAlignment w:val="auto"/>
              <w:rPr>
                <w:rFonts w:ascii="新細明體" w:hAnsi="新細明體" w:cs="SimSun"/>
                <w:sz w:val="18"/>
                <w:szCs w:val="20"/>
              </w:rPr>
            </w:pPr>
          </w:p>
        </w:tc>
        <w:tc>
          <w:tcPr>
            <w:tcW w:w="1196" w:type="dxa"/>
            <w:gridSpan w:val="2"/>
            <w:vMerge w:val="continue"/>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1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hint="eastAsia" w:ascii="新細明體" w:hAnsi="新細明體" w:cs="SimSun"/>
                <w:sz w:val="18"/>
                <w:szCs w:val="18"/>
                <w:lang w:val="en-US" w:eastAsia="zh-CN"/>
              </w:rPr>
            </w:pPr>
            <w:r>
              <w:rPr>
                <w:rFonts w:hint="eastAsia" w:ascii="新細明體" w:hAnsi="新細明體" w:cs="SimSun"/>
                <w:sz w:val="18"/>
                <w:szCs w:val="18"/>
                <w:lang w:val="en-US" w:eastAsia="zh-CN"/>
              </w:rPr>
              <w:t>非保證</w:t>
            </w:r>
          </w:p>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可得金額</w:t>
            </w:r>
          </w:p>
        </w:tc>
        <w:tc>
          <w:tcPr>
            <w:tcW w:w="1803" w:type="dxa"/>
            <w:vAlign w:val="center"/>
          </w:tcPr>
          <w:p>
            <w:pPr>
              <w:keepNext w:val="0"/>
              <w:keepLines w:val="0"/>
              <w:pageBreakBefore w:val="0"/>
              <w:kinsoku/>
              <w:wordWrap/>
              <w:overflowPunct/>
              <w:topLinePunct w:val="0"/>
              <w:autoSpaceDE w:val="0"/>
              <w:autoSpaceDN w:val="0"/>
              <w:bidi w:val="0"/>
              <w:adjustRightInd/>
              <w:snapToGrid/>
              <w:spacing w:after="0" w:line="240" w:lineRule="exact"/>
              <w:jc w:val="center"/>
              <w:textAlignment w:val="auto"/>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743"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816"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814"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803" w:type="dxa"/>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743"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816"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814"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1803"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8372" w:type="dxa"/>
            <w:gridSpan w:val="9"/>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sz w:val="18"/>
                <w:szCs w:val="18"/>
              </w:rPr>
              <w:t>«totalPaidM»</w:t>
            </w:r>
            <w:r>
              <w:rPr>
                <w:rFonts w:ascii="新細明體" w:hAnsi="新細明體" w:cs="SimSun"/>
                <w:sz w:val="18"/>
                <w:szCs w:val="18"/>
              </w:rPr>
              <w:fldChar w:fldCharType="end"/>
            </w:r>
          </w:p>
        </w:tc>
        <w:tc>
          <w:tcPr>
            <w:tcW w:w="1196" w:type="dxa"/>
            <w:gridSpan w:val="2"/>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sz w:val="18"/>
                <w:szCs w:val="18"/>
              </w:rPr>
              <w:t>«grtValM»</w:t>
            </w:r>
            <w:r>
              <w:rPr>
                <w:rFonts w:ascii="新細明體" w:hAnsi="新細明體" w:cs="SimSun"/>
                <w:sz w:val="18"/>
                <w:szCs w:val="18"/>
              </w:rPr>
              <w:fldChar w:fldCharType="end"/>
            </w:r>
          </w:p>
        </w:tc>
        <w:tc>
          <w:tcPr>
            <w:tcW w:w="1743"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sz w:val="18"/>
                <w:szCs w:val="18"/>
              </w:rPr>
              <w:t>«accDivLM»</w:t>
            </w:r>
            <w:r>
              <w:rPr>
                <w:rFonts w:ascii="新細明體" w:hAnsi="新細明體" w:cs="SimSun"/>
                <w:sz w:val="18"/>
                <w:szCs w:val="18"/>
              </w:rPr>
              <w:fldChar w:fldCharType="end"/>
            </w:r>
          </w:p>
        </w:tc>
        <w:tc>
          <w:tcPr>
            <w:tcW w:w="1816"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sz w:val="18"/>
                <w:szCs w:val="18"/>
              </w:rPr>
              <w:t>«totalSVLM»</w:t>
            </w:r>
            <w:r>
              <w:rPr>
                <w:rFonts w:ascii="新細明體" w:hAnsi="新細明體" w:cs="SimSun"/>
                <w:sz w:val="18"/>
                <w:szCs w:val="18"/>
              </w:rPr>
              <w:fldChar w:fldCharType="end"/>
            </w:r>
          </w:p>
        </w:tc>
        <w:tc>
          <w:tcPr>
            <w:tcW w:w="1814" w:type="dxa"/>
            <w:gridSpan w:val="2"/>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sz w:val="18"/>
                <w:szCs w:val="18"/>
              </w:rPr>
              <w:t>«accDivHM»</w:t>
            </w:r>
            <w:r>
              <w:rPr>
                <w:rFonts w:ascii="新細明體" w:hAnsi="新細明體" w:cs="SimSun"/>
                <w:sz w:val="18"/>
                <w:szCs w:val="18"/>
              </w:rPr>
              <w:fldChar w:fldCharType="end"/>
            </w:r>
          </w:p>
        </w:tc>
        <w:tc>
          <w:tcPr>
            <w:tcW w:w="1803" w:type="dxa"/>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sz w:val="18"/>
                <w:szCs w:val="18"/>
              </w:rPr>
              <w:t>«totalSVHM»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3"/>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20"/>
          <w:szCs w:val="20"/>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spacing w:after="0" w:line="240" w:lineRule="exact"/>
        <w:rPr>
          <w:rFonts w:ascii="新細明體" w:hAnsi="新細明體" w:cs="SimSun"/>
          <w:sz w:val="20"/>
          <w:szCs w:val="20"/>
        </w:rPr>
      </w:pPr>
    </w:p>
    <w:p>
      <w:pPr>
        <w:widowControl w:val="0"/>
        <w:spacing w:after="0" w:line="240" w:lineRule="auto"/>
        <w:rPr>
          <w:rFonts w:ascii="新細明體" w:hAnsi="新細明體" w:cs="SimSun"/>
          <w:sz w:val="24"/>
          <w:szCs w:val="24"/>
        </w:rPr>
        <w:sectPr>
          <w:headerReference r:id="rId7" w:type="default"/>
          <w:type w:val="continuous"/>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797"/>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63" w:type="dxa"/>
            <w:gridSpan w:val="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eastAsia="SimSun" w:cs="SimSun"/>
                <w:b/>
                <w:bCs/>
                <w:sz w:val="18"/>
                <w:szCs w:val="18"/>
                <w:lang w:val="en-US" w:eastAsia="zh-CN"/>
              </w:rPr>
              <w:t>7</w:t>
            </w:r>
            <w:r>
              <w:rPr>
                <w:rFonts w:hint="eastAsia" w:ascii="新細明體" w:hAnsi="新細明體" w:cs="SimSun"/>
                <w:b/>
                <w:bCs/>
                <w:sz w:val="18"/>
                <w:szCs w:val="18"/>
              </w:rPr>
              <w:t>.</w:t>
            </w:r>
            <w:r>
              <w:rPr>
                <w:rFonts w:ascii="新細明體" w:hAnsi="新細明體" w:cs="SimSun"/>
                <w:b/>
                <w:bCs/>
                <w:sz w:val="18"/>
                <w:szCs w:val="18"/>
              </w:rPr>
              <w:t xml:space="preserve"> </w:t>
            </w:r>
            <w:r>
              <w:rPr>
                <w:rFonts w:hint="eastAsia" w:ascii="新細明體" w:hAnsi="新細明體" w:cs="SimSun"/>
                <w:b/>
                <w:bCs/>
                <w:sz w:val="18"/>
                <w:szCs w:val="18"/>
              </w:rPr>
              <w:t>說明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cs="SimSun"/>
                <w:b w:val="0"/>
                <w:bCs w:val="0"/>
                <w:sz w:val="18"/>
                <w:szCs w:val="18"/>
                <w:lang w:val="en-US" w:eastAsia="zh-CN"/>
              </w:rPr>
              <w:t>(i)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第5及6部份乃概括說明</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閣下基本計劃的主要利益，並未將第3及4部份所列之附加保障計算在內，且假設</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閣下已全數支付應繳保費。如欲得悉更多資料，或索取更詳盡的建議書，請與本公司或</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閣下的保險中介人聯絡</w:t>
            </w:r>
            <w:r>
              <w:rPr>
                <w:rFonts w:hint="eastAsia" w:ascii="新細明體" w:hAnsi="新細明體" w:cs="SimSun"/>
                <w:sz w:val="18"/>
                <w:szCs w:val="18"/>
                <w:lang w:eastAsia="zh-CN"/>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b/>
                <w:sz w:val="18"/>
                <w:szCs w:val="18"/>
                <w:lang w:val="en-US" w:eastAsia="zh-CN"/>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由於需要將金額調整為整數，上列保費總額或會與應繳保費總額稍有出入。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部份預計的非保證金額乃根據本公司現時假設</w:t>
            </w:r>
            <w:r>
              <w:rPr>
                <w:rFonts w:hint="eastAsia" w:ascii="新細明體" w:hAnsi="新細明體" w:cs="SimSun"/>
                <w:sz w:val="18"/>
                <w:szCs w:val="18"/>
                <w:lang w:eastAsia="zh-CN"/>
              </w:rPr>
              <w:t>的</w:t>
            </w:r>
            <w:r>
              <w:rPr>
                <w:rFonts w:hint="eastAsia" w:ascii="新細明體" w:hAnsi="新細明體" w:cs="SimSun"/>
                <w:sz w:val="18"/>
                <w:szCs w:val="18"/>
              </w:rPr>
              <w:t>投資回報而計算，該金額並非保證。實際獲發之金額或會比所示者較高或較低。第6部份作為例子，說明因本公司現時假設的投資回報轉變而對退保發還金額及身故賠償額可能造成影響。在某些情況下，非保證金額可能為</w:t>
            </w:r>
            <w:r>
              <w:rPr>
                <w:rFonts w:hint="eastAsia" w:ascii="新細明體" w:hAnsi="新細明體" w:cs="SimSun"/>
                <w:b/>
                <w:sz w:val="18"/>
                <w:szCs w:val="18"/>
              </w:rPr>
              <w:t>零</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第5及6部份下悲觀情景是假設年度化投資回報率比現時預期每年下跌約0.</w:t>
            </w:r>
            <w:r>
              <w:rPr>
                <w:rFonts w:hint="eastAsia" w:ascii="新細明體" w:hAnsi="新細明體" w:cs="SimSun"/>
                <w:sz w:val="18"/>
                <w:szCs w:val="18"/>
                <w:lang w:val="en-US" w:eastAsia="zh-CN"/>
              </w:rPr>
              <w:t>70</w:t>
            </w:r>
            <w:r>
              <w:rPr>
                <w:rFonts w:hint="eastAsia" w:ascii="新細明體" w:hAnsi="新細明體" w:cs="SimSun"/>
                <w:sz w:val="18"/>
                <w:szCs w:val="18"/>
              </w:rPr>
              <w:t>%；樂觀情景是假設年度化投資回報率比現時預期每年上升約0.</w:t>
            </w:r>
            <w:r>
              <w:rPr>
                <w:rFonts w:hint="eastAsia" w:ascii="新細明體" w:hAnsi="新細明體" w:cs="SimSun"/>
                <w:sz w:val="18"/>
                <w:szCs w:val="18"/>
                <w:lang w:val="en-US" w:eastAsia="zh-CN"/>
              </w:rPr>
              <w:t>66</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如第5及6部份所示，</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閣下可將預期的非保證紅利金額及其他現金保障收益存放於本公司生息，有關息率為非保證類別。第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部份用以計算累積金額之現時年利率為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，實際利率將不時調整，或會比</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較高或較低。因應上述提及第</w:t>
            </w:r>
            <w:r>
              <w:rPr>
                <w:rFonts w:hint="eastAsia" w:ascii="新細明體" w:hAnsi="新細明體" w:eastAsia="SimSun" w:cs="SimSun"/>
                <w:sz w:val="18"/>
                <w:szCs w:val="18"/>
                <w:lang w:val="en-US" w:eastAsia="zh-CN"/>
              </w:rPr>
              <w:t>6</w:t>
            </w:r>
            <w:r>
              <w:rPr>
                <w:rFonts w:hint="eastAsia" w:ascii="新細明體" w:hAnsi="新細明體" w:cs="SimSun"/>
                <w:sz w:val="18"/>
                <w:szCs w:val="18"/>
              </w:rPr>
              <w:t>部份假設投資回報改變，悲觀及樂觀情景下用以計算累積金額之年利率分別為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intRateL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«intRateL»</w:t>
            </w:r>
            <w:r>
              <w:rPr>
                <w:rFonts w:hint="eastAsia" w:ascii="新細明體" w:hAnsi="新細明體" w:cs="SimSun"/>
                <w:sz w:val="18"/>
                <w:szCs w:val="18"/>
              </w:rPr>
              <w:fldChar w:fldCharType="end"/>
            </w:r>
            <w:r>
              <w:rPr>
                <w:rFonts w:hint="eastAsia" w:ascii="新細明體" w:hAnsi="新細明體" w:cs="SimSun"/>
                <w:sz w:val="18"/>
                <w:szCs w:val="18"/>
              </w:rPr>
              <w:t>及</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intRateH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«intRateH»</w:t>
            </w:r>
            <w:r>
              <w:rPr>
                <w:rFonts w:hint="eastAsia" w:ascii="新細明體" w:hAnsi="新細明體" w:cs="SimSun"/>
                <w:sz w:val="18"/>
                <w:szCs w:val="18"/>
              </w:rPr>
              <w:fldChar w:fldCharType="end"/>
            </w:r>
            <w:r>
              <w:rPr>
                <w:rFonts w:hint="eastAsia" w:ascii="新細明體" w:hAnsi="新細明體" w:cs="SimSun"/>
                <w:sz w:val="18"/>
                <w:szCs w:val="18"/>
              </w:rPr>
              <w:t>，此利率並非保證的。</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閣下可選擇提取全數或部份金額。此舉並不會影響第3部份所示的保障額，惟上列退保發還金額及身故賠償將會相應調低。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當檢視第5及6部份說明的金額時，應留意未來生活成本很可能因通脹而上調</w:t>
            </w:r>
            <w:r>
              <w:rPr>
                <w:rFonts w:hint="eastAsia" w:ascii="新細明體" w:hAnsi="新細明體" w:cs="SimSun"/>
                <w:b w:val="0"/>
                <w:bCs/>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sz w:val="18"/>
                <w:szCs w:val="18"/>
                <w:lang w:eastAsia="zh-CN"/>
              </w:rPr>
            </w:pPr>
            <w:r>
              <w:rPr>
                <w:rFonts w:hint="eastAsia" w:ascii="新細明體" w:hAnsi="新細明體" w:eastAsia="新細明體" w:cs="新細明體"/>
                <w:sz w:val="18"/>
                <w:szCs w:val="18"/>
                <w:lang w:eastAsia="zh-CN"/>
              </w:rPr>
              <w:t>若</w:t>
            </w:r>
            <w:r>
              <w:rPr>
                <w:rFonts w:hint="eastAsia" w:ascii="新細明體" w:hAnsi="新細明體" w:cs="新細明體"/>
                <w:sz w:val="18"/>
                <w:szCs w:val="18"/>
                <w:lang w:eastAsia="zh-CN"/>
              </w:rPr>
              <w:t>保費費率爲非保證，本公司保留權利隨時檢討及調整應付保費，考慮因素包括投資回報、理賠率、續保率及營運開支等等。</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8. 過往紅利資料</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eastAsia="SimSun" w:cs="SimSun"/>
                <w:sz w:val="18"/>
                <w:szCs w:val="18"/>
                <w:lang w:val="en-US" w:eastAsia="zh-CN"/>
              </w:rPr>
            </w:pPr>
            <w:r>
              <w:rPr>
                <w:rFonts w:hint="eastAsia" w:ascii="新細明體" w:hAnsi="新細明體" w:eastAsia="SimSun" w:cs="SimSun"/>
                <w:sz w:val="18"/>
                <w:szCs w:val="18"/>
                <w:lang w:val="en-US" w:eastAsia="zh-CN"/>
              </w:rPr>
              <w:t>http://www.lfhlife.com/FulfilRatio</w:t>
            </w: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ascii="新細明體" w:hAnsi="新細明體" w:cs="SimSun"/>
                <w:sz w:val="18"/>
                <w:szCs w:val="18"/>
              </w:rPr>
            </w:pPr>
            <w:r>
              <w:rPr>
                <w:rFonts w:hint="eastAsia" w:ascii="新細明體" w:hAnsi="新細明體" w:cs="SimSun"/>
                <w:sz w:val="18"/>
                <w:szCs w:val="18"/>
              </w:rPr>
              <w:t>若</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閣下希望知道本公司過往派發紅利的資料作參考用途，可瀏覽以上網址。</w:t>
            </w:r>
          </w:p>
          <w:p>
            <w:pPr>
              <w:keepNext w:val="0"/>
              <w:keepLines w:val="0"/>
              <w:pageBreakBefore w:val="0"/>
              <w:widowControl w:val="0"/>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leftChars="-49" w:hanging="108" w:hangingChars="60"/>
              <w:jc w:val="both"/>
              <w:textAlignment w:val="auto"/>
              <w:rPr>
                <w:rFonts w:ascii="新細明體" w:hAnsi="新細明體" w:cs="SimSun"/>
                <w:b/>
                <w:sz w:val="18"/>
                <w:szCs w:val="18"/>
                <w:u w:val="single"/>
              </w:rPr>
            </w:pPr>
            <w:r>
              <w:rPr>
                <w:rFonts w:hint="eastAsia" w:ascii="新細明體" w:hAnsi="新細明體" w:cs="SimSun"/>
                <w:b/>
                <w:sz w:val="18"/>
                <w:szCs w:val="18"/>
                <w:u w:val="single"/>
              </w:rPr>
              <w:t>警告</w:t>
            </w:r>
          </w:p>
          <w:p>
            <w:pPr>
              <w:pStyle w:val="23"/>
              <w:keepNext w:val="0"/>
              <w:keepLines w:val="0"/>
              <w:pageBreakBefore w:val="0"/>
              <w:widowControl w:val="0"/>
              <w:numPr>
                <w:ilvl w:val="0"/>
                <w:numId w:val="1"/>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除非</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閣下打算就已選擇保險計劃期內支付全期保費，否則不應投保本產品。</w:t>
            </w:r>
          </w:p>
          <w:p>
            <w:pPr>
              <w:pStyle w:val="23"/>
              <w:keepNext w:val="0"/>
              <w:keepLines w:val="0"/>
              <w:pageBreakBefore w:val="0"/>
              <w:widowControl w:val="0"/>
              <w:numPr>
                <w:ilvl w:val="0"/>
                <w:numId w:val="1"/>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如果</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閣下提早終止本產品或提前停止支付保費，</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閣下可能會蒙受重大損失。</w:t>
            </w:r>
          </w:p>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both"/>
              <w:textAlignment w:val="auto"/>
              <w:rPr>
                <w:rFonts w:hint="eastAsia"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聲明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r>
              <w:rPr>
                <w:rFonts w:ascii="新細明體" w:hAnsi="新細明體" w:cs="SimSun"/>
                <w:sz w:val="18"/>
                <w:szCs w:val="18"/>
              </w:rPr>
              <w:t>本人確認已閱讀及明白本利益說明</w:t>
            </w:r>
            <w:r>
              <w:rPr>
                <w:rFonts w:hint="eastAsia" w:ascii="新細明體" w:hAnsi="新細明體" w:cs="SimSun"/>
                <w:sz w:val="18"/>
                <w:szCs w:val="18"/>
              </w:rPr>
              <w:t>文件所提供的資料，並</w:t>
            </w:r>
            <w:r>
              <w:rPr>
                <w:rFonts w:ascii="新細明體" w:hAnsi="新細明體" w:cs="SimSun"/>
                <w:sz w:val="18"/>
                <w:szCs w:val="18"/>
              </w:rPr>
              <w:t>已收到本</w:t>
            </w:r>
            <w:r>
              <w:rPr>
                <w:rFonts w:hint="eastAsia" w:ascii="新細明體" w:hAnsi="新細明體" w:cs="SimSun"/>
                <w:sz w:val="18"/>
                <w:szCs w:val="18"/>
              </w:rPr>
              <w:t>計劃主要銷售刊物及相關的過往紅利</w:t>
            </w:r>
            <w:r>
              <w:rPr>
                <w:rFonts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SimSun"/>
          <w:sz w:val="24"/>
          <w:szCs w:val="24"/>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pPr>
      <w:bookmarkStart w:id="0" w:name="_GoBack"/>
      <w:bookmarkEnd w:id="0"/>
    </w:p>
    <w:sectPr>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新細明體">
    <w:panose1 w:val="02020500000000000000"/>
    <w:charset w:val="88"/>
    <w:family w:val="roman"/>
    <w:pitch w:val="default"/>
    <w:sig w:usb0="A00002FF" w:usb1="28CFFCFA" w:usb2="00000016" w:usb3="00000000" w:csb0="00100001" w:csb1="00000000"/>
  </w:font>
  <w:font w:name="LiSong Pro">
    <w:altName w:val="Segoe Print"/>
    <w:panose1 w:val="00000000000000000000"/>
    <w:charset w:val="00"/>
    <w:family w:val="roman"/>
    <w:pitch w:val="default"/>
    <w:sig w:usb0="00000000" w:usb1="00000000" w:usb2="00000000" w:usb3="00000000" w:csb0="00000000" w:csb1="0000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6988175" cy="4114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1pt;height:32.4pt;width:550.25pt;mso-position-horizontal:center;mso-position-horizontal-relative:margin;z-index:251660288;mso-width-relative:page;mso-height-relative:page;" filled="f" stroked="f" coordsize="21600,21600" o:gfxdata="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bIAmrVAAAABgEAAA8A&#10;AAAAAAAAAQAgAAAAIgAAAGRycy9kb3ducmV2LnhtbFBLAQIUABQAAAAIAIdO4kDpbg4xGgIAABQE&#10;AAAOAAAAAAAAAAEAIAAAACQBAABkcnMvZTJvRG9jLnhtbFBLBQYAAAAABgAGAFkBAACwBQAAAAA=&#10;">
              <v:fill on="f" focussize="0,0"/>
              <v:stroke on="f" weight="0.5pt"/>
              <v:imagedata o:title=""/>
              <o:lock v:ext="edit" aspectratio="f"/>
              <v:textbox inset="0mm,0mm,0mm,0mm">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v:textbox>
            </v:shape>
          </w:pict>
        </mc:Fallback>
      </mc:AlternateContent>
    </w:r>
  </w:p>
  <w:p>
    <w:pPr>
      <w:tabs>
        <w:tab w:val="center" w:pos="5387"/>
        <w:tab w:val="right" w:pos="10632"/>
      </w:tabs>
      <w:spacing w:line="240" w:lineRule="auto"/>
      <w:rPr>
        <w:rFonts w:ascii="新細明體" w:hAnsi="新細明體"/>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p>
  <w:p>
    <w:pPr>
      <w:pStyle w:val="4"/>
      <w:spacing w:after="0" w:line="240" w:lineRule="auto"/>
      <w:jc w:val="center"/>
      <w:rPr>
        <w:rFonts w:ascii="新細明體" w:hAnsi="新細明體" w:cs="Arial"/>
        <w:sz w:val="28"/>
        <w:szCs w:val="28"/>
      </w:rPr>
    </w:pPr>
  </w:p>
  <w:p>
    <w:pPr>
      <w:widowControl w:val="0"/>
      <w:spacing w:after="0" w:line="240" w:lineRule="auto"/>
      <w:jc w:val="center"/>
      <w:rPr>
        <w:rFonts w:ascii="新細明體" w:hAnsi="新細明體" w:cs="MS Mincho"/>
        <w:b/>
        <w:bCs/>
        <w:sz w:val="36"/>
        <w:szCs w:val="36"/>
      </w:rPr>
    </w:pPr>
    <w:r>
      <w:rPr>
        <w:rFonts w:hint="eastAsia" w:ascii="新細明體" w:hAnsi="新細明體" w:cs="Arial"/>
        <w:b/>
        <w:bCs/>
        <w:sz w:val="34"/>
        <w:szCs w:val="34"/>
      </w:rPr>
      <w:t>『悅』心</w:t>
    </w:r>
    <w:r>
      <w:rPr>
        <w:rFonts w:ascii="新細明體" w:hAnsi="新細明體" w:cs="Arial"/>
        <w:b/>
        <w:bCs/>
        <w:sz w:val="34"/>
        <w:szCs w:val="34"/>
      </w:rPr>
      <w:fldChar w:fldCharType="begin"/>
    </w:r>
    <w:r>
      <w:rPr>
        <w:rFonts w:ascii="新細明體" w:hAnsi="新細明體" w:cs="Arial"/>
        <w:b/>
        <w:bCs/>
        <w:sz w:val="34"/>
        <w:szCs w:val="34"/>
      </w:rPr>
      <w:instrText xml:space="preserve"> </w:instrText>
    </w:r>
    <w:r>
      <w:rPr>
        <w:rFonts w:hint="eastAsia" w:ascii="新細明體" w:hAnsi="新細明體" w:cs="Arial"/>
        <w:b/>
        <w:bCs/>
        <w:sz w:val="34"/>
        <w:szCs w:val="34"/>
      </w:rPr>
      <w:instrText xml:space="preserve">MERGEFIELD  plYr  \* MERGEFORMAT</w:instrText>
    </w:r>
    <w:r>
      <w:rPr>
        <w:rFonts w:ascii="新細明體" w:hAnsi="新細明體" w:cs="Arial"/>
        <w:b/>
        <w:bCs/>
        <w:sz w:val="34"/>
        <w:szCs w:val="34"/>
      </w:rPr>
      <w:instrText xml:space="preserve"> </w:instrText>
    </w:r>
    <w:r>
      <w:rPr>
        <w:rFonts w:ascii="新細明體" w:hAnsi="新細明體" w:cs="Arial"/>
        <w:b/>
        <w:bCs/>
        <w:sz w:val="34"/>
        <w:szCs w:val="34"/>
      </w:rPr>
      <w:fldChar w:fldCharType="separate"/>
    </w:r>
    <w:r>
      <w:rPr>
        <w:rFonts w:ascii="新細明體" w:hAnsi="新細明體" w:cs="Arial"/>
        <w:b/>
        <w:bCs/>
        <w:sz w:val="34"/>
        <w:szCs w:val="34"/>
      </w:rPr>
      <w:t>«plYr»</w:t>
    </w:r>
    <w:r>
      <w:rPr>
        <w:rFonts w:ascii="新細明體" w:hAnsi="新細明體" w:cs="Arial"/>
        <w:b/>
        <w:bCs/>
        <w:sz w:val="34"/>
        <w:szCs w:val="34"/>
      </w:rPr>
      <w:fldChar w:fldCharType="end"/>
    </w:r>
    <w:r>
      <w:rPr>
        <w:rFonts w:hint="eastAsia" w:ascii="新細明體" w:hAnsi="新細明體" w:cs="Arial"/>
        <w:b/>
        <w:bCs/>
        <w:sz w:val="34"/>
        <w:szCs w:val="34"/>
      </w:rPr>
      <w:t>退休保障計劃</w:t>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sz w:val="20"/>
        <w:szCs w:val="20"/>
      </w:rPr>
    </w:pPr>
    <w:r>
      <w:rPr>
        <w:rFonts w:hint="eastAsia" w:ascii="新細明體" w:hAnsi="新細明體"/>
        <w:b/>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B0797"/>
    <w:multiLevelType w:val="multilevel"/>
    <w:tmpl w:val="74FB0797"/>
    <w:lvl w:ilvl="0" w:tentative="0">
      <w:start w:val="1"/>
      <w:numFmt w:val="bullet"/>
      <w:lvlText w:val=""/>
      <w:lvlJc w:val="left"/>
      <w:pPr>
        <w:ind w:left="372" w:hanging="480"/>
      </w:pPr>
      <w:rPr>
        <w:rFonts w:hint="default" w:ascii="Wingdings" w:hAnsi="Wingdings"/>
      </w:rPr>
    </w:lvl>
    <w:lvl w:ilvl="1" w:tentative="0">
      <w:start w:val="1"/>
      <w:numFmt w:val="bullet"/>
      <w:lvlText w:val=""/>
      <w:lvlJc w:val="left"/>
      <w:pPr>
        <w:ind w:left="852" w:hanging="480"/>
      </w:pPr>
      <w:rPr>
        <w:rFonts w:hint="default" w:ascii="Wingdings" w:hAnsi="Wingdings"/>
      </w:rPr>
    </w:lvl>
    <w:lvl w:ilvl="2" w:tentative="0">
      <w:start w:val="1"/>
      <w:numFmt w:val="bullet"/>
      <w:lvlText w:val=""/>
      <w:lvlJc w:val="left"/>
      <w:pPr>
        <w:ind w:left="1332" w:hanging="480"/>
      </w:pPr>
      <w:rPr>
        <w:rFonts w:hint="default" w:ascii="Wingdings" w:hAnsi="Wingdings"/>
      </w:rPr>
    </w:lvl>
    <w:lvl w:ilvl="3" w:tentative="0">
      <w:start w:val="1"/>
      <w:numFmt w:val="bullet"/>
      <w:lvlText w:val=""/>
      <w:lvlJc w:val="left"/>
      <w:pPr>
        <w:ind w:left="1812" w:hanging="480"/>
      </w:pPr>
      <w:rPr>
        <w:rFonts w:hint="default" w:ascii="Wingdings" w:hAnsi="Wingdings"/>
      </w:rPr>
    </w:lvl>
    <w:lvl w:ilvl="4" w:tentative="0">
      <w:start w:val="1"/>
      <w:numFmt w:val="bullet"/>
      <w:lvlText w:val=""/>
      <w:lvlJc w:val="left"/>
      <w:pPr>
        <w:ind w:left="2292" w:hanging="480"/>
      </w:pPr>
      <w:rPr>
        <w:rFonts w:hint="default" w:ascii="Wingdings" w:hAnsi="Wingdings"/>
      </w:rPr>
    </w:lvl>
    <w:lvl w:ilvl="5" w:tentative="0">
      <w:start w:val="1"/>
      <w:numFmt w:val="bullet"/>
      <w:lvlText w:val=""/>
      <w:lvlJc w:val="left"/>
      <w:pPr>
        <w:ind w:left="2772" w:hanging="480"/>
      </w:pPr>
      <w:rPr>
        <w:rFonts w:hint="default" w:ascii="Wingdings" w:hAnsi="Wingdings"/>
      </w:rPr>
    </w:lvl>
    <w:lvl w:ilvl="6" w:tentative="0">
      <w:start w:val="1"/>
      <w:numFmt w:val="bullet"/>
      <w:lvlText w:val=""/>
      <w:lvlJc w:val="left"/>
      <w:pPr>
        <w:ind w:left="3252" w:hanging="480"/>
      </w:pPr>
      <w:rPr>
        <w:rFonts w:hint="default" w:ascii="Wingdings" w:hAnsi="Wingdings"/>
      </w:rPr>
    </w:lvl>
    <w:lvl w:ilvl="7" w:tentative="0">
      <w:start w:val="1"/>
      <w:numFmt w:val="bullet"/>
      <w:lvlText w:val=""/>
      <w:lvlJc w:val="left"/>
      <w:pPr>
        <w:ind w:left="3732" w:hanging="480"/>
      </w:pPr>
      <w:rPr>
        <w:rFonts w:hint="default" w:ascii="Wingdings" w:hAnsi="Wingdings"/>
      </w:rPr>
    </w:lvl>
    <w:lvl w:ilvl="8" w:tentative="0">
      <w:start w:val="1"/>
      <w:numFmt w:val="bullet"/>
      <w:lvlText w:val=""/>
      <w:lvlJc w:val="left"/>
      <w:pPr>
        <w:ind w:left="4212"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0315F"/>
    <w:rsid w:val="00031FBA"/>
    <w:rsid w:val="00035255"/>
    <w:rsid w:val="00040896"/>
    <w:rsid w:val="00054F4F"/>
    <w:rsid w:val="00080F9A"/>
    <w:rsid w:val="00082FE4"/>
    <w:rsid w:val="00094325"/>
    <w:rsid w:val="000B2EBF"/>
    <w:rsid w:val="000C3119"/>
    <w:rsid w:val="00101C59"/>
    <w:rsid w:val="00103DFD"/>
    <w:rsid w:val="00144683"/>
    <w:rsid w:val="0014783B"/>
    <w:rsid w:val="00153B6E"/>
    <w:rsid w:val="00175D90"/>
    <w:rsid w:val="001819CB"/>
    <w:rsid w:val="00185B69"/>
    <w:rsid w:val="001903B3"/>
    <w:rsid w:val="0019230B"/>
    <w:rsid w:val="00194977"/>
    <w:rsid w:val="001A4FEC"/>
    <w:rsid w:val="001D3918"/>
    <w:rsid w:val="001E2BFE"/>
    <w:rsid w:val="001E4682"/>
    <w:rsid w:val="001F01D8"/>
    <w:rsid w:val="001F0B6F"/>
    <w:rsid w:val="002340C1"/>
    <w:rsid w:val="0023698F"/>
    <w:rsid w:val="00256074"/>
    <w:rsid w:val="00256669"/>
    <w:rsid w:val="002734F5"/>
    <w:rsid w:val="002765DC"/>
    <w:rsid w:val="002C5D73"/>
    <w:rsid w:val="002E411F"/>
    <w:rsid w:val="002E449F"/>
    <w:rsid w:val="002E6078"/>
    <w:rsid w:val="00300434"/>
    <w:rsid w:val="003007B5"/>
    <w:rsid w:val="00365317"/>
    <w:rsid w:val="00377B54"/>
    <w:rsid w:val="0039316F"/>
    <w:rsid w:val="003A4140"/>
    <w:rsid w:val="003C1F6A"/>
    <w:rsid w:val="003C5EB7"/>
    <w:rsid w:val="003D5A8B"/>
    <w:rsid w:val="003F17FE"/>
    <w:rsid w:val="003F66BA"/>
    <w:rsid w:val="00405827"/>
    <w:rsid w:val="00432D0D"/>
    <w:rsid w:val="00484134"/>
    <w:rsid w:val="00486487"/>
    <w:rsid w:val="004A78B1"/>
    <w:rsid w:val="004B7959"/>
    <w:rsid w:val="004C0CA9"/>
    <w:rsid w:val="004C3620"/>
    <w:rsid w:val="004C5838"/>
    <w:rsid w:val="004D7767"/>
    <w:rsid w:val="004F7E24"/>
    <w:rsid w:val="005150DA"/>
    <w:rsid w:val="005331AF"/>
    <w:rsid w:val="00534A5F"/>
    <w:rsid w:val="00547547"/>
    <w:rsid w:val="00580268"/>
    <w:rsid w:val="005A7EFA"/>
    <w:rsid w:val="005C55EC"/>
    <w:rsid w:val="005D144B"/>
    <w:rsid w:val="005F6274"/>
    <w:rsid w:val="006206DD"/>
    <w:rsid w:val="00632CA4"/>
    <w:rsid w:val="006551D7"/>
    <w:rsid w:val="006636BA"/>
    <w:rsid w:val="00676EDF"/>
    <w:rsid w:val="00684F95"/>
    <w:rsid w:val="00685BD8"/>
    <w:rsid w:val="006910E9"/>
    <w:rsid w:val="006A6CDB"/>
    <w:rsid w:val="006B76C2"/>
    <w:rsid w:val="0071277F"/>
    <w:rsid w:val="00715110"/>
    <w:rsid w:val="007151FC"/>
    <w:rsid w:val="00764E11"/>
    <w:rsid w:val="007A0A33"/>
    <w:rsid w:val="007A5E9E"/>
    <w:rsid w:val="007B4449"/>
    <w:rsid w:val="007C1B4E"/>
    <w:rsid w:val="007D1CCF"/>
    <w:rsid w:val="007F125D"/>
    <w:rsid w:val="008059DD"/>
    <w:rsid w:val="0081089A"/>
    <w:rsid w:val="00811B7D"/>
    <w:rsid w:val="008130C8"/>
    <w:rsid w:val="00814E66"/>
    <w:rsid w:val="008162BA"/>
    <w:rsid w:val="00824272"/>
    <w:rsid w:val="0083617B"/>
    <w:rsid w:val="008549FA"/>
    <w:rsid w:val="00862246"/>
    <w:rsid w:val="0087261C"/>
    <w:rsid w:val="008B70C7"/>
    <w:rsid w:val="008D1D3C"/>
    <w:rsid w:val="009023C4"/>
    <w:rsid w:val="00912E5C"/>
    <w:rsid w:val="0092468F"/>
    <w:rsid w:val="0093186D"/>
    <w:rsid w:val="00935E0E"/>
    <w:rsid w:val="0094092E"/>
    <w:rsid w:val="0096548A"/>
    <w:rsid w:val="009858A6"/>
    <w:rsid w:val="009A034A"/>
    <w:rsid w:val="009A369D"/>
    <w:rsid w:val="009B7A25"/>
    <w:rsid w:val="009C1306"/>
    <w:rsid w:val="009C6E95"/>
    <w:rsid w:val="009D3DD1"/>
    <w:rsid w:val="009E47EE"/>
    <w:rsid w:val="00A04DAD"/>
    <w:rsid w:val="00A12489"/>
    <w:rsid w:val="00A13354"/>
    <w:rsid w:val="00A645FC"/>
    <w:rsid w:val="00A72152"/>
    <w:rsid w:val="00A8009D"/>
    <w:rsid w:val="00AA7231"/>
    <w:rsid w:val="00AB492D"/>
    <w:rsid w:val="00AC59C7"/>
    <w:rsid w:val="00AF5FB6"/>
    <w:rsid w:val="00B127C6"/>
    <w:rsid w:val="00B26907"/>
    <w:rsid w:val="00B26D59"/>
    <w:rsid w:val="00B3487E"/>
    <w:rsid w:val="00B3634E"/>
    <w:rsid w:val="00B37519"/>
    <w:rsid w:val="00B63057"/>
    <w:rsid w:val="00B66FE1"/>
    <w:rsid w:val="00B73E60"/>
    <w:rsid w:val="00B90467"/>
    <w:rsid w:val="00BC5392"/>
    <w:rsid w:val="00C13D61"/>
    <w:rsid w:val="00C224B4"/>
    <w:rsid w:val="00C534E8"/>
    <w:rsid w:val="00C96493"/>
    <w:rsid w:val="00CB21BC"/>
    <w:rsid w:val="00CB3E9A"/>
    <w:rsid w:val="00CD33D7"/>
    <w:rsid w:val="00D106A9"/>
    <w:rsid w:val="00D15095"/>
    <w:rsid w:val="00D20B89"/>
    <w:rsid w:val="00D337BF"/>
    <w:rsid w:val="00D34A21"/>
    <w:rsid w:val="00D42B87"/>
    <w:rsid w:val="00D61740"/>
    <w:rsid w:val="00D63AAF"/>
    <w:rsid w:val="00DB64DA"/>
    <w:rsid w:val="00DC5FFA"/>
    <w:rsid w:val="00DD5E74"/>
    <w:rsid w:val="00DE05D2"/>
    <w:rsid w:val="00DE6616"/>
    <w:rsid w:val="00DE6799"/>
    <w:rsid w:val="00DF187C"/>
    <w:rsid w:val="00DF2FF8"/>
    <w:rsid w:val="00E06FB9"/>
    <w:rsid w:val="00E32F6B"/>
    <w:rsid w:val="00E3538C"/>
    <w:rsid w:val="00E4498C"/>
    <w:rsid w:val="00E57BB7"/>
    <w:rsid w:val="00E701CC"/>
    <w:rsid w:val="00E816A3"/>
    <w:rsid w:val="00E951CB"/>
    <w:rsid w:val="00EF0987"/>
    <w:rsid w:val="00F0179C"/>
    <w:rsid w:val="00F11026"/>
    <w:rsid w:val="00F123A9"/>
    <w:rsid w:val="00F15873"/>
    <w:rsid w:val="00F303AB"/>
    <w:rsid w:val="00F450C0"/>
    <w:rsid w:val="00F87533"/>
    <w:rsid w:val="00F876D5"/>
    <w:rsid w:val="00F92914"/>
    <w:rsid w:val="00F92C54"/>
    <w:rsid w:val="00F943B3"/>
    <w:rsid w:val="00F95374"/>
    <w:rsid w:val="00FB0B5A"/>
    <w:rsid w:val="00FD0A14"/>
    <w:rsid w:val="08E74F86"/>
    <w:rsid w:val="0AD24E8C"/>
    <w:rsid w:val="183F053B"/>
    <w:rsid w:val="346419A2"/>
    <w:rsid w:val="356B1C41"/>
    <w:rsid w:val="3DD7594A"/>
    <w:rsid w:val="41986591"/>
    <w:rsid w:val="54C041A1"/>
    <w:rsid w:val="5E194E59"/>
    <w:rsid w:val="75B86B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footer"/>
    <w:basedOn w:val="1"/>
    <w:uiPriority w:val="0"/>
    <w:pPr>
      <w:tabs>
        <w:tab w:val="center" w:pos="4680"/>
        <w:tab w:val="right" w:pos="9360"/>
      </w:tabs>
    </w:pPr>
  </w:style>
  <w:style w:type="paragraph" w:styleId="4">
    <w:name w:val="header"/>
    <w:basedOn w:val="1"/>
    <w:qFormat/>
    <w:uiPriority w:val="0"/>
    <w:pPr>
      <w:tabs>
        <w:tab w:val="center" w:pos="4680"/>
        <w:tab w:val="right" w:pos="9360"/>
      </w:tabs>
    </w:pPr>
  </w:style>
  <w:style w:type="paragraph" w:styleId="5">
    <w:name w:val="List"/>
    <w:basedOn w:val="6"/>
    <w:qFormat/>
    <w:uiPriority w:val="0"/>
  </w:style>
  <w:style w:type="paragraph" w:customStyle="1" w:styleId="6">
    <w:name w:val="Text Body"/>
    <w:basedOn w:val="1"/>
    <w:qFormat/>
    <w:uiPriority w:val="0"/>
    <w:pPr>
      <w:spacing w:after="140" w:line="288" w:lineRule="auto"/>
    </w:pPr>
  </w:style>
  <w:style w:type="table" w:styleId="9">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0"/>
  </w:style>
  <w:style w:type="character" w:customStyle="1" w:styleId="11">
    <w:name w:val="Footer Char"/>
    <w:basedOn w:val="7"/>
    <w:qFormat/>
    <w:uiPriority w:val="0"/>
  </w:style>
  <w:style w:type="character" w:customStyle="1" w:styleId="12">
    <w:name w:val="ListLabel 1"/>
    <w:qFormat/>
    <w:uiPriority w:val="0"/>
    <w:rPr>
      <w:rFonts w:ascii="SimSun" w:hAnsi="SimSun" w:eastAsia="LiSong Pro" w:cs="Arial"/>
      <w:sz w:val="20"/>
    </w:rPr>
  </w:style>
  <w:style w:type="character" w:customStyle="1" w:styleId="13">
    <w:name w:val="ListLabel 2"/>
    <w:qFormat/>
    <w:uiPriority w:val="0"/>
    <w:rPr>
      <w:rFonts w:ascii="SimSun" w:hAnsi="SimSun" w:cs="OpenSymbol"/>
      <w:b/>
      <w:sz w:val="26"/>
    </w:rPr>
  </w:style>
  <w:style w:type="character" w:customStyle="1" w:styleId="14">
    <w:name w:val="ListLabel 3"/>
    <w:qFormat/>
    <w:uiPriority w:val="0"/>
    <w:rPr>
      <w:rFonts w:ascii="SimSun" w:hAnsi="SimSun" w:eastAsia="PingFang HK" w:cs="Arial"/>
      <w:sz w:val="20"/>
    </w:rPr>
  </w:style>
  <w:style w:type="character" w:customStyle="1" w:styleId="15">
    <w:name w:val="Footer Char1"/>
    <w:basedOn w:val="7"/>
    <w:qFormat/>
    <w:uiPriority w:val="0"/>
    <w:rPr>
      <w:rFonts w:ascii="Calibri" w:hAnsi="Calibri" w:eastAsia="Times New Roman" w:cs="Calibri"/>
      <w:color w:val="00000A"/>
      <w:sz w:val="22"/>
    </w:rPr>
  </w:style>
  <w:style w:type="character" w:customStyle="1" w:styleId="16">
    <w:name w:val="ListLabel 4"/>
    <w:qFormat/>
    <w:uiPriority w:val="0"/>
    <w:rPr>
      <w:rFonts w:cs="Symbol"/>
    </w:rPr>
  </w:style>
  <w:style w:type="character" w:customStyle="1" w:styleId="17">
    <w:name w:val="ListLabel 5"/>
    <w:qFormat/>
    <w:uiPriority w:val="0"/>
    <w:rPr>
      <w:rFonts w:ascii="SimSun" w:hAnsi="SimSun" w:eastAsia="PingFang HK" w:cs="Arial"/>
      <w:sz w:val="20"/>
    </w:rPr>
  </w:style>
  <w:style w:type="character" w:customStyle="1" w:styleId="18">
    <w:name w:val="ListLabel 6"/>
    <w:qFormat/>
    <w:uiPriority w:val="0"/>
    <w:rPr>
      <w:rFonts w:cs="Symbol"/>
      <w:sz w:val="30"/>
      <w:szCs w:val="30"/>
    </w:rPr>
  </w:style>
  <w:style w:type="character" w:customStyle="1" w:styleId="19">
    <w:name w:val="ListLabel 7"/>
    <w:qFormat/>
    <w:uiPriority w:val="0"/>
    <w:rPr>
      <w:rFonts w:ascii="PingFang HK" w:hAnsi="PingFang HK" w:eastAsia="Heiti TC" w:cs="Arial"/>
      <w:sz w:val="20"/>
    </w:rPr>
  </w:style>
  <w:style w:type="character" w:customStyle="1" w:styleId="20">
    <w:name w:val="Bullets"/>
    <w:qFormat/>
    <w:uiPriority w:val="0"/>
    <w:rPr>
      <w:rFonts w:ascii="OpenSymbol" w:hAnsi="OpenSymbol" w:eastAsia="Heiti TC" w:cs="OpenSymbol"/>
      <w:sz w:val="30"/>
      <w:szCs w:val="30"/>
    </w:rPr>
  </w:style>
  <w:style w:type="paragraph" w:customStyle="1" w:styleId="21">
    <w:name w:val="Heading"/>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Index"/>
    <w:basedOn w:val="1"/>
    <w:qFormat/>
    <w:uiPriority w:val="0"/>
    <w:pPr>
      <w:suppressLineNumbers/>
    </w:pPr>
  </w:style>
  <w:style w:type="paragraph" w:styleId="23">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007D20-A3BA-4B49-A2CA-FCBBCDD85AF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1552</Words>
  <Characters>8850</Characters>
  <Lines>73</Lines>
  <Paragraphs>20</Paragraphs>
  <TotalTime>0</TotalTime>
  <ScaleCrop>false</ScaleCrop>
  <LinksUpToDate>false</LinksUpToDate>
  <CharactersWithSpaces>10382</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dcterms:modified xsi:type="dcterms:W3CDTF">2018-12-11T04:28:44Z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2052-11.1.0.8013</vt:lpwstr>
  </property>
</Properties>
</file>