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t>住院及手術保障為實報實銷的醫療保障。若被保人一旦不幸遇上意外或疾病時，亦毋須為突如其來的醫療開支而煩惱。被保人可隨意選擇合適的醫院及註冊醫生，不受地域限制。此項保障可續保至被保人七十五歲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clear" w:pos="720"/>
        </w:tabs>
        <w:spacing w:after="0" w:line="240" w:lineRule="auto"/>
        <w:ind w:left="567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若被保人於</w:t>
      </w:r>
      <w:r>
        <w:rPr>
          <w:rFonts w:ascii="新細明體" w:hAnsi="新細明體" w:cs="SimSun"/>
          <w:sz w:val="24"/>
          <w:szCs w:val="24"/>
        </w:rPr>
        <w:t>75</w:t>
      </w:r>
      <w:r>
        <w:rPr>
          <w:rFonts w:ascii="新細明體" w:hAnsi="新細明體" w:cs="新細明體"/>
          <w:sz w:val="24"/>
          <w:szCs w:val="24"/>
        </w:rPr>
        <w:t>歲前因意外或疾病入院接受治療，可獲賠償金額如下</w:t>
      </w:r>
      <w:r>
        <w:rPr>
          <w:rFonts w:ascii="新細明體" w:hAnsi="新細明體" w:cs="MS Mincho"/>
          <w:sz w:val="24"/>
          <w:szCs w:val="24"/>
        </w:rPr>
        <w:t>：</w:t>
      </w:r>
      <w:r>
        <w:rPr>
          <w:rFonts w:ascii="新細明體" w:hAnsi="新細明體" w:cs="Arial"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tbl>
      <w:tblPr>
        <w:tblStyle w:val="8"/>
        <w:tblW w:w="10484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103"/>
        <w:gridCol w:w="3402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  <w:vAlign w:val="center"/>
          </w:tcPr>
          <w:p>
            <w:pPr>
              <w:widowControl w:val="0"/>
              <w:spacing w:before="60" w:after="60" w:line="240" w:lineRule="auto"/>
              <w:ind w:left="396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保障範圍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before="60"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>
            <w:pPr>
              <w:widowControl w:val="0"/>
              <w:spacing w:after="60" w:line="240" w:lineRule="auto"/>
              <w:jc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最高賠償額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before="60"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>
            <w:pPr>
              <w:widowControl w:val="0"/>
              <w:spacing w:after="60" w:line="240" w:lineRule="auto"/>
              <w:jc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最高賠償日數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trHeight w:val="370" w:hRule="atLeast"/>
        </w:trPr>
        <w:tc>
          <w:tcPr>
            <w:tcW w:w="5103" w:type="dxa"/>
            <w:shd w:val="clear" w:color="auto" w:fill="FFFFFF"/>
          </w:tcPr>
          <w:p>
            <w:pPr>
              <w:widowControl w:val="0"/>
              <w:spacing w:after="0" w:line="240" w:lineRule="auto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«ccy»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﹞</w:t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trHeight w:val="340" w:hRule="atLeast"/>
        </w:trPr>
        <w:tc>
          <w:tcPr>
            <w:tcW w:w="5103" w:type="dxa"/>
            <w:shd w:val="clear" w:color="auto" w:fill="FFFFFF"/>
            <w:vAlign w:val="bottom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日住院膳宿費</w:t>
            </w:r>
          </w:p>
        </w:tc>
        <w:tc>
          <w:tcPr>
            <w:tcW w:w="3402" w:type="dxa"/>
            <w:shd w:val="clear" w:color="auto" w:fill="FFFFFF"/>
            <w:vAlign w:val="bottom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hs01SA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«hs01SA»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bottom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hs01D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«hs01D»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trHeight w:val="340" w:hRule="atLeast"/>
        </w:trPr>
        <w:tc>
          <w:tcPr>
            <w:tcW w:w="5103" w:type="dxa"/>
            <w:shd w:val="clear" w:color="auto" w:fill="FFFFFF"/>
            <w:vAlign w:val="bottom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日醫生巡房費</w:t>
            </w:r>
          </w:p>
        </w:tc>
        <w:tc>
          <w:tcPr>
            <w:tcW w:w="3402" w:type="dxa"/>
            <w:shd w:val="clear" w:color="auto" w:fill="FFFFFF"/>
            <w:vAlign w:val="bottom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hs02SA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«hs02SA»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  <w:vAlign w:val="bottom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hs02D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«hs02D»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醫</w:t>
            </w:r>
            <w:r>
              <w:rPr>
                <w:rFonts w:ascii="新細明體" w:hAnsi="新細明體"/>
                <w:sz w:val="24"/>
                <w:szCs w:val="24"/>
              </w:rPr>
              <w:t>院服務費</w:t>
            </w:r>
          </w:p>
          <w:p>
            <w:pPr>
              <w:pStyle w:val="20"/>
              <w:widowControl w:val="0"/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﹝傷口護理，藥物及其他﹞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hs03SA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«hs03SA»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日深切治療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hs04SA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«hs04SA»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hs04D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«hs04D»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手</w:t>
            </w:r>
            <w:r>
              <w:rPr>
                <w:rFonts w:ascii="新細明體" w:hAnsi="新細明體"/>
                <w:sz w:val="24"/>
                <w:szCs w:val="24"/>
              </w:rPr>
              <w:t>術費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複雜手術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大型手術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中型手術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小型手術</w:t>
            </w:r>
          </w:p>
          <w:p>
            <w:pPr>
              <w:widowControl w:val="0"/>
              <w:spacing w:after="0" w:line="240" w:lineRule="auto"/>
              <w:ind w:left="66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 手術之等級是根據外科手術表而分類﹞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hs05SA1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«hs05SA1»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hs05SA2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«hs05SA2»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hs05SA3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«hs05SA3»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hs05SA4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«hs05SA4»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麻</w:t>
            </w:r>
            <w:r>
              <w:rPr>
                <w:rFonts w:ascii="新細明體" w:hAnsi="新細明體"/>
                <w:sz w:val="24"/>
                <w:szCs w:val="24"/>
              </w:rPr>
              <w:t>醉師費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實際手術費賠償之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hs06SA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«hs06SA»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手</w:t>
            </w:r>
            <w:r>
              <w:rPr>
                <w:rFonts w:ascii="新細明體" w:hAnsi="新細明體"/>
                <w:sz w:val="24"/>
                <w:szCs w:val="24"/>
              </w:rPr>
              <w:t>術室費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實際手術費賠償之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hs07SA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«hs07SA»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緊</w:t>
            </w:r>
            <w:r>
              <w:rPr>
                <w:rFonts w:ascii="新細明體" w:hAnsi="新細明體"/>
                <w:sz w:val="24"/>
                <w:szCs w:val="24"/>
              </w:rPr>
              <w:t>急門診治療</w:t>
            </w:r>
          </w:p>
          <w:p>
            <w:pPr>
              <w:pStyle w:val="20"/>
              <w:widowControl w:val="0"/>
              <w:spacing w:after="0" w:line="240" w:lineRule="auto"/>
              <w:ind w:left="1008" w:hanging="288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﹝在意外發生後二十四小時內到醫院門診部的治療可獲賠償﹞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hs08SA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«hs08SA»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親</w:t>
            </w:r>
            <w:r>
              <w:rPr>
                <w:rFonts w:ascii="新細明體" w:hAnsi="新細明體"/>
                <w:sz w:val="24"/>
                <w:szCs w:val="24"/>
              </w:rPr>
              <w:t>人陪伴附加床位費#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hs09SA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«hs09SA»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hs09D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«hs09D»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</w:tbl>
    <w:p>
      <w:pPr>
        <w:widowControl w:val="0"/>
        <w:spacing w:after="0" w:line="240" w:lineRule="auto"/>
        <w:ind w:firstLine="720"/>
        <w:rPr>
          <w:rFonts w:ascii="新細明體" w:hAnsi="新細明體"/>
          <w:sz w:val="12"/>
          <w:szCs w:val="12"/>
        </w:rPr>
      </w:pPr>
    </w:p>
    <w:p>
      <w:pPr>
        <w:widowControl w:val="0"/>
        <w:spacing w:after="0" w:line="240" w:lineRule="auto"/>
        <w:ind w:left="142"/>
        <w:rPr>
          <w:rFonts w:ascii="新細明體" w:hAnsi="新細明體"/>
          <w:sz w:val="20"/>
          <w:szCs w:val="20"/>
        </w:rPr>
      </w:pPr>
      <w:r>
        <w:rPr>
          <w:rFonts w:ascii="新細明體" w:hAnsi="新細明體"/>
          <w:sz w:val="20"/>
          <w:szCs w:val="20"/>
        </w:rPr>
        <w:t># 只適用於被保人年齡為16歲以下或60歲以上。</w:t>
      </w:r>
    </w:p>
    <w:p>
      <w:pPr>
        <w:widowControl w:val="0"/>
        <w:spacing w:after="0" w:line="240" w:lineRule="auto"/>
        <w:ind w:left="567" w:hanging="283"/>
        <w:rPr>
          <w:rFonts w:ascii="新細明體" w:hAnsi="新細明體" w:cs="MS Mincho"/>
          <w:sz w:val="12"/>
          <w:szCs w:val="12"/>
        </w:rPr>
      </w:pPr>
    </w:p>
    <w:p>
      <w:pPr>
        <w:widowControl w:val="0"/>
        <w:spacing w:after="0" w:line="240" w:lineRule="auto"/>
        <w:ind w:left="567" w:hanging="283"/>
        <w:rPr>
          <w:rFonts w:ascii="新細明體" w:hAnsi="新細明體" w:cs="MS Mincho"/>
          <w:sz w:val="12"/>
          <w:szCs w:val="12"/>
        </w:rPr>
      </w:pPr>
      <w:r>
        <w:rPr>
          <w:rFonts w:ascii="新細明體" w:hAnsi="新細明體"/>
          <w:sz w:val="12"/>
          <w:szCs w:val="12"/>
        </w:rPr>
        <w:br w:type="page"/>
      </w:r>
    </w:p>
    <w:p>
      <w:pPr>
        <w:widowControl w:val="0"/>
        <w:spacing w:after="0" w:line="240" w:lineRule="auto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不保項目</w:t>
      </w:r>
    </w:p>
    <w:p>
      <w:pPr>
        <w:widowControl w:val="0"/>
        <w:tabs>
          <w:tab w:val="left" w:pos="288"/>
          <w:tab w:val="left" w:pos="720"/>
        </w:tabs>
        <w:spacing w:before="120" w:after="120" w:line="240" w:lineRule="auto"/>
        <w:ind w:left="288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本計劃保障範圍並不包括由於下列原因,直接或間接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或因完全或部份之關係而導致之索賠：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本計劃繕發日、批註日或復效日(以最遲者為準)</w:t>
      </w:r>
      <w:r>
        <w:rPr>
          <w:rFonts w:ascii="新細明體" w:hAnsi="新細明體" w:cs="Arial"/>
          <w:sz w:val="18"/>
          <w:szCs w:val="18"/>
        </w:rPr>
        <w:t xml:space="preserve"> </w:t>
      </w:r>
      <w:r>
        <w:rPr>
          <w:rFonts w:hint="eastAsia" w:ascii="新細明體" w:hAnsi="新細明體" w:cs="Arial"/>
          <w:sz w:val="18"/>
          <w:szCs w:val="18"/>
        </w:rPr>
        <w:t>前或起計三十日內既有之傷病或病徵所導致的住院或費用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不論當時神智是否清醒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被保人自致之傷害或自殺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參與宣佈或不宣佈之戰爭或任何類似戰爭行動、暴動或民事騷亂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在宣佈或不宣佈之戰爭或任何類似戰爭期間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或鎮壓叛亂時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參與軍役執行任務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抵觸或企圖抵觸法律、拒捕或參與任何爭執或毆鬥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參與 (a) 賽車或賽馬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(b) 專業運動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(c) 潛水活動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(d) 除作為購票乘客乘搭商業航機外之任何飛行或航空活動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受酒精或藥物影響而導致之傷害或疾病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或與毒癮或酒癮有關之治療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不論有意或無意服用或吸入毒藥、瓦斯或濃煙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例行身體檢驗、健康檢查或測試、休養治療、療養院護理、種痘、免疫注射或預防性治療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牙齒護理、視力檢驗、假牙、眼鏡、助聽器或其配件、美容手術或整形手術。惟因治療或減輕被保人之傷害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所需要接受的護理則除外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喪失免疫力病毒(HIV)之感染(因意外所造成的傷痕或傷口而受感染者除外)及</w:t>
      </w:r>
      <w:r>
        <w:rPr>
          <w:rFonts w:hint="eastAsia" w:ascii="新細明體" w:hAnsi="新細明體" w:cs="SimSun"/>
          <w:sz w:val="18"/>
          <w:szCs w:val="18"/>
        </w:rPr>
        <w:t>／</w:t>
      </w:r>
      <w:r>
        <w:rPr>
          <w:rFonts w:hint="eastAsia" w:ascii="新細明體" w:hAnsi="新細明體" w:cs="Arial"/>
          <w:sz w:val="18"/>
          <w:szCs w:val="18"/>
        </w:rPr>
        <w:t>或其有關之疾病包括愛滋病及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SimSun"/>
          <w:sz w:val="18"/>
          <w:szCs w:val="18"/>
        </w:rPr>
        <w:t>／</w:t>
      </w:r>
      <w:r>
        <w:rPr>
          <w:rFonts w:hint="eastAsia" w:ascii="新細明體" w:hAnsi="新細明體" w:cs="Arial"/>
          <w:sz w:val="18"/>
          <w:szCs w:val="18"/>
        </w:rPr>
        <w:t>或因愛滋病之任何併發症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 xml:space="preserve">性病、經性接觸傳播之疾病、不育手術、絕育手術、精神病治療、神經錯亂或 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6"/>
        <w:contextualSpacing w:val="0"/>
        <w:rPr>
          <w:rFonts w:ascii="新細明體" w:hAnsi="新細明體" w:cs="MS Mincho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疾病、先天性畸形或缺陷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分娩、懷孕、流產或人工流產;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扁桃腺、腺狀腫、疝氣、女性生殖器官之疾病等治療或外科手術、但被保人在本保障繼續有效達一百二十日以後接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6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受此項治療或外科手術者不在此限;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任何傷害或疾病可經政府之規定取得賠償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又或可從其他保險保單或類似計劃取得補償者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但不能從上述政府之規定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或各項保單或計劃中取得之醫療費用則不在此限。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Arial"/>
          <w:sz w:val="20"/>
          <w:szCs w:val="20"/>
        </w:rPr>
      </w:pP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Arial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b/>
        <w:bCs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414" w:lineRule="exact"/>
      <w:jc w:val="center"/>
      <w:rPr>
        <w:rFonts w:ascii="新細明體" w:hAnsi="新細明體" w:cs="Arial"/>
        <w:sz w:val="26"/>
        <w:szCs w:val="26"/>
      </w:rPr>
    </w:pPr>
    <w:r>
      <w:rPr>
        <w:rFonts w:ascii="新細明體" w:hAnsi="新細明體" w:cs="MS Mincho"/>
        <w:b/>
        <w:bCs/>
        <w:sz w:val="34"/>
        <w:szCs w:val="34"/>
      </w:rPr>
      <w:t>住院及手術保障</w:t>
    </w:r>
    <w:r>
      <w:rPr>
        <w:rFonts w:ascii="新細明體" w:hAnsi="新細明體" w:cs="MS PGothic"/>
        <w:b/>
        <w:bCs/>
        <w:sz w:val="34"/>
        <w:szCs w:val="34"/>
      </w:rPr>
      <w:t xml:space="preserve"> - </w:t>
    </w:r>
    <w:r>
      <w:rPr>
        <w:rFonts w:ascii="新細明體" w:hAnsi="新細明體" w:cs="MS PGothic"/>
        <w:b/>
        <w:bCs/>
        <w:sz w:val="34"/>
        <w:szCs w:val="34"/>
      </w:rPr>
      <w:fldChar w:fldCharType="begin"/>
    </w:r>
    <w:r>
      <w:rPr>
        <w:rFonts w:ascii="新細明體" w:hAnsi="新細明體" w:cs="MS PGothic"/>
        <w:b/>
        <w:bCs/>
        <w:sz w:val="34"/>
        <w:szCs w:val="34"/>
      </w:rPr>
      <w:instrText xml:space="preserve"> MERGEFIELD  hsPlan  \* MERGEFORMAT </w:instrText>
    </w:r>
    <w:r>
      <w:rPr>
        <w:rFonts w:ascii="新細明體" w:hAnsi="新細明體" w:cs="MS PGothic"/>
        <w:b/>
        <w:bCs/>
        <w:sz w:val="34"/>
        <w:szCs w:val="34"/>
      </w:rPr>
      <w:fldChar w:fldCharType="separate"/>
    </w:r>
    <w:r>
      <w:rPr>
        <w:rFonts w:ascii="新細明體" w:hAnsi="新細明體" w:cs="MS PGothic"/>
        <w:b/>
        <w:bCs/>
        <w:sz w:val="34"/>
        <w:szCs w:val="34"/>
      </w:rPr>
      <w:t>«hsPlan»</w:t>
    </w:r>
    <w:r>
      <w:rPr>
        <w:rFonts w:ascii="新細明體" w:hAnsi="新細明體" w:cs="MS PGothic"/>
        <w:b/>
        <w:bCs/>
        <w:sz w:val="34"/>
        <w:szCs w:val="34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07B2"/>
    <w:multiLevelType w:val="multilevel"/>
    <w:tmpl w:val="0E4807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position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957AA"/>
    <w:multiLevelType w:val="multilevel"/>
    <w:tmpl w:val="23095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6"/>
        <w:szCs w:val="26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4AE73C25"/>
    <w:multiLevelType w:val="multilevel"/>
    <w:tmpl w:val="4AE73C25"/>
    <w:lvl w:ilvl="0" w:tentative="0">
      <w:start w:val="1"/>
      <w:numFmt w:val="bullet"/>
      <w:lvlText w:val=""/>
      <w:lvlJc w:val="left"/>
      <w:pPr>
        <w:ind w:left="1003" w:hanging="283"/>
      </w:pPr>
      <w:rPr>
        <w:rFonts w:hint="default" w:ascii="Symbol" w:hAnsi="Symbol" w:cs="Symbol"/>
        <w:sz w:val="26"/>
        <w:szCs w:val="26"/>
      </w:r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3F"/>
    <w:rsid w:val="00022C55"/>
    <w:rsid w:val="00055D4E"/>
    <w:rsid w:val="00077F42"/>
    <w:rsid w:val="00082769"/>
    <w:rsid w:val="000D5CD7"/>
    <w:rsid w:val="0014300D"/>
    <w:rsid w:val="00185C0A"/>
    <w:rsid w:val="0036133F"/>
    <w:rsid w:val="00393408"/>
    <w:rsid w:val="003C4096"/>
    <w:rsid w:val="004E3F27"/>
    <w:rsid w:val="006E2F4A"/>
    <w:rsid w:val="006F16AE"/>
    <w:rsid w:val="00701E21"/>
    <w:rsid w:val="007F7E56"/>
    <w:rsid w:val="00831F5D"/>
    <w:rsid w:val="00875636"/>
    <w:rsid w:val="00880AB4"/>
    <w:rsid w:val="008C1433"/>
    <w:rsid w:val="0095219C"/>
    <w:rsid w:val="00962894"/>
    <w:rsid w:val="009A75B7"/>
    <w:rsid w:val="00A06E03"/>
    <w:rsid w:val="00A26958"/>
    <w:rsid w:val="00A47F27"/>
    <w:rsid w:val="00AB163A"/>
    <w:rsid w:val="00AB538D"/>
    <w:rsid w:val="00AD404B"/>
    <w:rsid w:val="00B15DA0"/>
    <w:rsid w:val="00BF46A9"/>
    <w:rsid w:val="00CA69DC"/>
    <w:rsid w:val="00CC557A"/>
    <w:rsid w:val="00D11A9D"/>
    <w:rsid w:val="00D600A4"/>
    <w:rsid w:val="00D818C0"/>
    <w:rsid w:val="00DF53F4"/>
    <w:rsid w:val="00E0046A"/>
    <w:rsid w:val="00E058A9"/>
    <w:rsid w:val="00E45A28"/>
    <w:rsid w:val="00EA22D9"/>
    <w:rsid w:val="00EE3324"/>
    <w:rsid w:val="00F316F3"/>
    <w:rsid w:val="00F36B20"/>
    <w:rsid w:val="00FA2519"/>
    <w:rsid w:val="00FE142C"/>
    <w:rsid w:val="29840370"/>
    <w:rsid w:val="308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ListLabel 4"/>
    <w:qFormat/>
    <w:uiPriority w:val="0"/>
    <w:rPr>
      <w:rFonts w:ascii="PingFang HK" w:hAnsi="PingFang HK" w:cs="Symbol"/>
    </w:rPr>
  </w:style>
  <w:style w:type="character" w:customStyle="1" w:styleId="15">
    <w:name w:val="ListLabel 5"/>
    <w:qFormat/>
    <w:uiPriority w:val="0"/>
    <w:rPr>
      <w:rFonts w:ascii="PingFang HK" w:hAnsi="PingFang HK" w:eastAsia="PingFang HK" w:cs="Arial"/>
      <w:sz w:val="20"/>
    </w:rPr>
  </w:style>
  <w:style w:type="character" w:customStyle="1" w:styleId="16">
    <w:name w:val="ListLabel 6"/>
    <w:qFormat/>
    <w:uiPriority w:val="0"/>
    <w:rPr>
      <w:rFonts w:ascii="PingFang HK" w:hAnsi="PingFang HK" w:eastAsia="Heiti TC" w:cs="Symbol"/>
      <w:sz w:val="26"/>
      <w:szCs w:val="26"/>
    </w:rPr>
  </w:style>
  <w:style w:type="character" w:customStyle="1" w:styleId="17">
    <w:name w:val="ListLabel 7"/>
    <w:qFormat/>
    <w:uiPriority w:val="0"/>
    <w:rPr>
      <w:rFonts w:ascii="PingFang HK" w:hAnsi="PingFang HK" w:eastAsia="PingFang HK" w:cs="Arial"/>
      <w:sz w:val="20"/>
    </w:rPr>
  </w:style>
  <w:style w:type="paragraph" w:customStyle="1" w:styleId="1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</w:style>
  <w:style w:type="paragraph" w:styleId="20">
    <w:name w:val="List Paragraph"/>
    <w:basedOn w:val="1"/>
    <w:qFormat/>
    <w:uiPriority w:val="0"/>
    <w:pPr>
      <w:ind w:left="720"/>
      <w:contextualSpacing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53</TotalTime>
  <ScaleCrop>false</ScaleCrop>
  <LinksUpToDate>false</LinksUpToDate>
  <CharactersWithSpaces>2033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2015-11-27T10:05:00Z</dcterms:created>
  <dc:creator>juven.cheng@gmail.com</dc:creator>
  <cp:lastModifiedBy>Han@</cp:lastModifiedBy>
  <dcterms:modified xsi:type="dcterms:W3CDTF">2018-12-05T07:38:37Z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