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5x0d5h95i329" w:id="0"/>
      <w:bookmarkEnd w:id="0"/>
      <w:r w:rsidDel="00000000" w:rsidR="00000000" w:rsidRPr="00000000">
        <w:rPr>
          <w:rtl w:val="0"/>
        </w:rPr>
        <w:t xml:space="preserve">Solar energy prediction using Machine Learning</w:t>
      </w:r>
      <w:r w:rsidDel="00000000" w:rsidR="00000000" w:rsidRPr="00000000">
        <w:rPr>
          <w:rtl w:val="0"/>
        </w:rPr>
      </w:r>
    </w:p>
    <w:p w:rsidR="00000000" w:rsidDel="00000000" w:rsidP="00000000" w:rsidRDefault="00000000" w:rsidRPr="00000000" w14:paraId="00000003">
      <w:pPr>
        <w:pStyle w:val="Subtitle"/>
        <w:rPr>
          <w:b w:val="1"/>
          <w:sz w:val="28"/>
          <w:szCs w:val="28"/>
        </w:rPr>
      </w:pPr>
      <w:bookmarkStart w:colFirst="0" w:colLast="0" w:name="_af80tl7prv5v" w:id="1"/>
      <w:bookmarkEnd w:id="1"/>
      <w:r w:rsidDel="00000000" w:rsidR="00000000" w:rsidRPr="00000000">
        <w:rPr>
          <w:b w:val="1"/>
          <w:sz w:val="28"/>
          <w:szCs w:val="28"/>
          <w:rtl w:val="0"/>
        </w:rPr>
        <w:t xml:space="preserve">19</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January 2021</w:t>
      </w:r>
    </w:p>
    <w:p w:rsidR="00000000" w:rsidDel="00000000" w:rsidP="00000000" w:rsidRDefault="00000000" w:rsidRPr="00000000" w14:paraId="00000004">
      <w:pPr>
        <w:pStyle w:val="Heading1"/>
        <w:rPr/>
      </w:pPr>
      <w:bookmarkStart w:colFirst="0" w:colLast="0" w:name="_14mpx6a8znb7"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Steadily growing for several years, renewable energy now represents more than 21% of total electricity production in 2019 in France (RTE). As an important part of renewable energy, solar PV represents 10.1% of gross renewable electricity generation. </w:t>
      </w:r>
    </w:p>
    <w:p w:rsidR="00000000" w:rsidDel="00000000" w:rsidP="00000000" w:rsidRDefault="00000000" w:rsidRPr="00000000" w14:paraId="00000006">
      <w:pPr>
        <w:rPr>
          <w:color w:val="000000"/>
        </w:rPr>
      </w:pPr>
      <w:r w:rsidDel="00000000" w:rsidR="00000000" w:rsidRPr="00000000">
        <w:rPr>
          <w:color w:val="000000"/>
          <w:rtl w:val="0"/>
        </w:rPr>
        <w:t xml:space="preserve">With the advantage of being cleaner than traditional energy sources like coal or oil comes multiples challenges: </w:t>
      </w:r>
    </w:p>
    <w:p w:rsidR="00000000" w:rsidDel="00000000" w:rsidP="00000000" w:rsidRDefault="00000000" w:rsidRPr="00000000" w14:paraId="00000007">
      <w:pPr>
        <w:numPr>
          <w:ilvl w:val="0"/>
          <w:numId w:val="1"/>
        </w:numPr>
        <w:ind w:left="720" w:hanging="360"/>
        <w:rPr>
          <w:color w:val="000000"/>
        </w:rPr>
      </w:pPr>
      <w:r w:rsidDel="00000000" w:rsidR="00000000" w:rsidRPr="00000000">
        <w:rPr>
          <w:color w:val="000000"/>
          <w:rtl w:val="0"/>
        </w:rPr>
        <w:t xml:space="preserve">Electricity produced from renewable sources is very difficult to store. Batteries and other storage capacities are not mature enough technologically speaking. The power is handled smartly over “grids” that would redirect supply where the demand lies on the network.  </w:t>
      </w:r>
    </w:p>
    <w:p w:rsidR="00000000" w:rsidDel="00000000" w:rsidP="00000000" w:rsidRDefault="00000000" w:rsidRPr="00000000" w14:paraId="00000008">
      <w:pPr>
        <w:ind w:left="720" w:firstLine="0"/>
        <w:rPr>
          <w:color w:val="000000"/>
          <w:u w:val="single"/>
        </w:rPr>
      </w:pPr>
      <w:r w:rsidDel="00000000" w:rsidR="00000000" w:rsidRPr="00000000">
        <w:rPr>
          <w:color w:val="000000"/>
          <w:u w:val="single"/>
          <w:rtl w:val="0"/>
        </w:rPr>
        <w:t xml:space="preserve">-&gt; Overproduction results in loss of money. </w:t>
      </w:r>
    </w:p>
    <w:p w:rsidR="00000000" w:rsidDel="00000000" w:rsidP="00000000" w:rsidRDefault="00000000" w:rsidRPr="00000000" w14:paraId="00000009">
      <w:pPr>
        <w:numPr>
          <w:ilvl w:val="0"/>
          <w:numId w:val="1"/>
        </w:numPr>
        <w:ind w:left="720" w:hanging="360"/>
        <w:rPr>
          <w:color w:val="000000"/>
        </w:rPr>
      </w:pPr>
      <w:r w:rsidDel="00000000" w:rsidR="00000000" w:rsidRPr="00000000">
        <w:rPr>
          <w:color w:val="000000"/>
          <w:rtl w:val="0"/>
        </w:rPr>
        <w:t xml:space="preserve">Renewable energies are directly dependent on the weather which is dynamic and complex to forecast.</w:t>
      </w:r>
    </w:p>
    <w:p w:rsidR="00000000" w:rsidDel="00000000" w:rsidP="00000000" w:rsidRDefault="00000000" w:rsidRPr="00000000" w14:paraId="0000000A">
      <w:pPr>
        <w:ind w:left="720" w:firstLine="0"/>
        <w:rPr>
          <w:color w:val="000000"/>
        </w:rPr>
      </w:pPr>
      <w:r w:rsidDel="00000000" w:rsidR="00000000" w:rsidRPr="00000000">
        <w:rPr>
          <w:color w:val="000000"/>
          <w:u w:val="single"/>
          <w:rtl w:val="0"/>
        </w:rPr>
        <w:t xml:space="preserve">-&gt; Shortage of power due to lack of sun radiation results in inconvenience for clients, a fine from the government and impact on provider reputation.  </w:t>
      </w:r>
      <w:r w:rsidDel="00000000" w:rsidR="00000000" w:rsidRPr="00000000">
        <w:rPr>
          <w:color w:val="000000"/>
          <w:rtl w:val="0"/>
        </w:rPr>
        <w:t xml:space="preserve">   </w:t>
      </w:r>
    </w:p>
    <w:p w:rsidR="00000000" w:rsidDel="00000000" w:rsidP="00000000" w:rsidRDefault="00000000" w:rsidRPr="00000000" w14:paraId="0000000B">
      <w:pPr>
        <w:ind w:left="0" w:firstLine="0"/>
        <w:rPr>
          <w:color w:val="000000"/>
        </w:rPr>
      </w:pPr>
      <w:r w:rsidDel="00000000" w:rsidR="00000000" w:rsidRPr="00000000">
        <w:rPr>
          <w:color w:val="000000"/>
          <w:rtl w:val="0"/>
        </w:rPr>
        <w:t xml:space="preserve">This calls for an accurate forecast and management of energy production based on external conditions. </w:t>
      </w:r>
    </w:p>
    <w:p w:rsidR="00000000" w:rsidDel="00000000" w:rsidP="00000000" w:rsidRDefault="00000000" w:rsidRPr="00000000" w14:paraId="0000000C">
      <w:pPr>
        <w:pStyle w:val="Heading1"/>
        <w:rPr/>
      </w:pPr>
      <w:bookmarkStart w:colFirst="0" w:colLast="0" w:name="_oymnw3nlvwib" w:id="3"/>
      <w:bookmarkEnd w:id="3"/>
      <w:r w:rsidDel="00000000" w:rsidR="00000000" w:rsidRPr="00000000">
        <w:rPr>
          <w:rtl w:val="0"/>
        </w:rPr>
        <w:t xml:space="preserve">OBJECTIVES</w:t>
      </w:r>
    </w:p>
    <w:p w:rsidR="00000000" w:rsidDel="00000000" w:rsidP="00000000" w:rsidRDefault="00000000" w:rsidRPr="00000000" w14:paraId="0000000D">
      <w:pPr>
        <w:numPr>
          <w:ilvl w:val="0"/>
          <w:numId w:val="4"/>
        </w:numPr>
        <w:spacing w:after="0" w:afterAutospacing="0"/>
        <w:ind w:left="720" w:hanging="360"/>
      </w:pPr>
      <w:r w:rsidDel="00000000" w:rsidR="00000000" w:rsidRPr="00000000">
        <w:rPr>
          <w:rtl w:val="0"/>
        </w:rPr>
        <w:t xml:space="preserve">Develop a solar energy forecast model to predict hourly/daily production of xx region in France  </w:t>
      </w:r>
      <w:r w:rsidDel="00000000" w:rsidR="00000000" w:rsidRPr="00000000">
        <w:rPr>
          <w:rtl w:val="0"/>
        </w:rPr>
      </w:r>
    </w:p>
    <w:p w:rsidR="00000000" w:rsidDel="00000000" w:rsidP="00000000" w:rsidRDefault="00000000" w:rsidRPr="00000000" w14:paraId="0000000E">
      <w:pPr>
        <w:numPr>
          <w:ilvl w:val="0"/>
          <w:numId w:val="4"/>
        </w:numPr>
        <w:spacing w:before="0" w:beforeAutospacing="0"/>
        <w:ind w:left="720" w:hanging="360"/>
      </w:pPr>
      <w:r w:rsidDel="00000000" w:rsidR="00000000" w:rsidRPr="00000000">
        <w:rPr>
          <w:rtl w:val="0"/>
        </w:rPr>
        <w:t xml:space="preserve">Compare different models for solar energy prediction</w:t>
      </w:r>
    </w:p>
    <w:p w:rsidR="00000000" w:rsidDel="00000000" w:rsidP="00000000" w:rsidRDefault="00000000" w:rsidRPr="00000000" w14:paraId="0000000F">
      <w:pPr>
        <w:pStyle w:val="Heading1"/>
        <w:rPr/>
      </w:pPr>
      <w:bookmarkStart w:colFirst="0" w:colLast="0" w:name="_c5rpsdy8g2ak" w:id="4"/>
      <w:bookmarkEnd w:id="4"/>
      <w:r w:rsidDel="00000000" w:rsidR="00000000" w:rsidRPr="00000000">
        <w:rPr>
          <w:rtl w:val="0"/>
        </w:rPr>
        <w:t xml:space="preserve">SPECIFICATIONS</w:t>
      </w:r>
    </w:p>
    <w:p w:rsidR="00000000" w:rsidDel="00000000" w:rsidP="00000000" w:rsidRDefault="00000000" w:rsidRPr="00000000" w14:paraId="00000010">
      <w:pPr>
        <w:rPr>
          <w:b w:val="1"/>
          <w:color w:val="00ab44"/>
          <w:sz w:val="28"/>
          <w:szCs w:val="28"/>
        </w:rPr>
      </w:pPr>
      <w:r w:rsidDel="00000000" w:rsidR="00000000" w:rsidRPr="00000000">
        <w:rPr>
          <w:b w:val="1"/>
          <w:color w:val="00ab44"/>
          <w:sz w:val="28"/>
          <w:szCs w:val="28"/>
          <w:rtl w:val="0"/>
        </w:rPr>
        <w:t xml:space="preserve">Data collection</w:t>
      </w:r>
    </w:p>
    <w:p w:rsidR="00000000" w:rsidDel="00000000" w:rsidP="00000000" w:rsidRDefault="00000000" w:rsidRPr="00000000" w14:paraId="00000011">
      <w:pPr>
        <w:numPr>
          <w:ilvl w:val="0"/>
          <w:numId w:val="3"/>
        </w:numPr>
        <w:spacing w:after="0" w:afterAutospacing="0"/>
        <w:ind w:left="720" w:hanging="360"/>
      </w:pPr>
      <w:r w:rsidDel="00000000" w:rsidR="00000000" w:rsidRPr="00000000">
        <w:rPr>
          <w:rtl w:val="0"/>
        </w:rPr>
        <w:t xml:space="preserve">Commission de régulation de l'énergie (CRE) Open Data: </w:t>
      </w:r>
      <w:hyperlink r:id="rId7">
        <w:r w:rsidDel="00000000" w:rsidR="00000000" w:rsidRPr="00000000">
          <w:rPr>
            <w:color w:val="1155cc"/>
            <w:u w:val="single"/>
            <w:rtl w:val="0"/>
          </w:rPr>
          <w:t xml:space="preserve">https://www.cre.fr/Pages-annexes/open-data</w:t>
        </w:r>
      </w:hyperlink>
      <w:r w:rsidDel="00000000" w:rsidR="00000000" w:rsidRPr="00000000">
        <w:rPr>
          <w:rtl w:val="0"/>
        </w:rPr>
      </w:r>
    </w:p>
    <w:p w:rsidR="00000000" w:rsidDel="00000000" w:rsidP="00000000" w:rsidRDefault="00000000" w:rsidRPr="00000000" w14:paraId="00000012">
      <w:pPr>
        <w:numPr>
          <w:ilvl w:val="1"/>
          <w:numId w:val="3"/>
        </w:numPr>
        <w:spacing w:after="0" w:afterAutospacing="0" w:before="0" w:beforeAutospacing="0"/>
        <w:ind w:left="1440" w:hanging="360"/>
      </w:pPr>
      <w:r w:rsidDel="00000000" w:rsidR="00000000" w:rsidRPr="00000000">
        <w:rPr>
          <w:rtl w:val="0"/>
        </w:rPr>
        <w:t xml:space="preserve">Electricity production by source by region from 2013 to Nov. 2020 with several measurement per day </w:t>
      </w:r>
      <w:hyperlink r:id="rId8">
        <w:r w:rsidDel="00000000" w:rsidR="00000000" w:rsidRPr="00000000">
          <w:rPr>
            <w:color w:val="1155cc"/>
            <w:u w:val="single"/>
            <w:rtl w:val="0"/>
          </w:rPr>
          <w:t xml:space="preserve">Données éCO2mix régionales consolidées et définitives (janvier 2013 à novembre 2020)</w:t>
        </w:r>
      </w:hyperlink>
      <w:r w:rsidDel="00000000" w:rsidR="00000000" w:rsidRPr="00000000">
        <w:rPr>
          <w:rtl w:val="0"/>
        </w:rPr>
      </w:r>
    </w:p>
    <w:p w:rsidR="00000000" w:rsidDel="00000000" w:rsidP="00000000" w:rsidRDefault="00000000" w:rsidRPr="00000000" w14:paraId="00000013">
      <w:pPr>
        <w:numPr>
          <w:ilvl w:val="1"/>
          <w:numId w:val="3"/>
        </w:numPr>
        <w:spacing w:after="0" w:afterAutospacing="0" w:before="0" w:beforeAutospacing="0"/>
        <w:ind w:left="1440" w:hanging="360"/>
      </w:pPr>
      <w:r w:rsidDel="00000000" w:rsidR="00000000" w:rsidRPr="00000000">
        <w:rPr>
          <w:rtl w:val="0"/>
        </w:rPr>
        <w:t xml:space="preserve">Solar radiation and wind speed by region 3-hourly from 2016</w:t>
      </w:r>
      <w:hyperlink r:id="rId9">
        <w:r w:rsidDel="00000000" w:rsidR="00000000" w:rsidRPr="00000000">
          <w:rPr>
            <w:color w:val="1155cc"/>
            <w:u w:val="single"/>
            <w:rtl w:val="0"/>
          </w:rPr>
          <w:t xml:space="preserve">Rayonnement solaire global et vitesse du vent à 100 mètres tri-horaires régionaux (depuis janvier 2016)</w:t>
        </w:r>
      </w:hyperlink>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ind w:left="720" w:hanging="360"/>
      </w:pPr>
      <w:r w:rsidDel="00000000" w:rsidR="00000000" w:rsidRPr="00000000">
        <w:rPr>
          <w:rtl w:val="0"/>
        </w:rPr>
        <w:t xml:space="preserve">Statistics provided by BDPV: </w:t>
      </w:r>
      <w:hyperlink r:id="rId10">
        <w:r w:rsidDel="00000000" w:rsidR="00000000" w:rsidRPr="00000000">
          <w:rPr>
            <w:color w:val="1155cc"/>
            <w:u w:val="single"/>
            <w:rtl w:val="0"/>
          </w:rPr>
          <w:t xml:space="preserve">https://www.bdpv.fr/fr/classement.php</w:t>
        </w:r>
      </w:hyperlink>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OPEN DATA RÉSEAUX ÉNERGIES (ODRÉ): </w:t>
      </w:r>
      <w:hyperlink r:id="rId11">
        <w:r w:rsidDel="00000000" w:rsidR="00000000" w:rsidRPr="00000000">
          <w:rPr>
            <w:color w:val="1155cc"/>
            <w:u w:val="single"/>
            <w:rtl w:val="0"/>
          </w:rPr>
          <w:t xml:space="preserve">https://opendata.reseaux-energies.fr/pages/accueil/</w:t>
        </w:r>
      </w:hyperlink>
      <w:r w:rsidDel="00000000" w:rsidR="00000000" w:rsidRPr="00000000">
        <w:rPr>
          <w:rtl w:val="0"/>
        </w:rPr>
      </w:r>
    </w:p>
    <w:p w:rsidR="00000000" w:rsidDel="00000000" w:rsidP="00000000" w:rsidRDefault="00000000" w:rsidRPr="00000000" w14:paraId="00000016">
      <w:pPr>
        <w:numPr>
          <w:ilvl w:val="0"/>
          <w:numId w:val="3"/>
        </w:numPr>
        <w:spacing w:before="0" w:beforeAutospacing="0"/>
        <w:ind w:left="720" w:hanging="360"/>
        <w:rPr>
          <w:u w:val="none"/>
        </w:rPr>
      </w:pPr>
      <w:r w:rsidDel="00000000" w:rsidR="00000000" w:rsidRPr="00000000">
        <w:rPr>
          <w:rtl w:val="0"/>
        </w:rPr>
        <w:t xml:space="preserve">Historical weather data - Paris Montsouris</w:t>
      </w:r>
    </w:p>
    <w:p w:rsidR="00000000" w:rsidDel="00000000" w:rsidP="00000000" w:rsidRDefault="00000000" w:rsidRPr="00000000" w14:paraId="00000017">
      <w:pPr>
        <w:ind w:left="720" w:firstLine="0"/>
        <w:rPr/>
      </w:pPr>
      <w:hyperlink r:id="rId12">
        <w:r w:rsidDel="00000000" w:rsidR="00000000" w:rsidRPr="00000000">
          <w:rPr>
            <w:color w:val="1155cc"/>
            <w:u w:val="single"/>
            <w:rtl w:val="0"/>
          </w:rPr>
          <w:t xml:space="preserve">https://www.ncei.noaa.gov/access/search/data-search/global-hourly?bbox=51.091,-4.777,41.367,9.553&amp;place=Country:146&amp;stations=07156099999</w:t>
        </w:r>
      </w:hyperlink>
      <w:r w:rsidDel="00000000" w:rsidR="00000000" w:rsidRPr="00000000">
        <w:rPr>
          <w:rtl w:val="0"/>
        </w:rPr>
      </w:r>
    </w:p>
    <w:p w:rsidR="00000000" w:rsidDel="00000000" w:rsidP="00000000" w:rsidRDefault="00000000" w:rsidRPr="00000000" w14:paraId="00000018">
      <w:pPr>
        <w:rPr>
          <w:b w:val="1"/>
          <w:color w:val="00ab44"/>
          <w:sz w:val="28"/>
          <w:szCs w:val="28"/>
        </w:rPr>
      </w:pPr>
      <w:r w:rsidDel="00000000" w:rsidR="00000000" w:rsidRPr="00000000">
        <w:rPr>
          <w:b w:val="1"/>
          <w:color w:val="00ab44"/>
          <w:sz w:val="28"/>
          <w:szCs w:val="28"/>
          <w:rtl w:val="0"/>
        </w:rPr>
        <w:t xml:space="preserve">Methodology / Tools</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Time series             </w:t>
      </w:r>
      <w:r w:rsidDel="00000000" w:rsidR="00000000" w:rsidRPr="00000000">
        <w:rPr>
          <w:rtl w:val="0"/>
        </w:rPr>
      </w:r>
    </w:p>
    <w:p w:rsidR="00000000" w:rsidDel="00000000" w:rsidP="00000000" w:rsidRDefault="00000000" w:rsidRPr="00000000" w14:paraId="0000001A">
      <w:pPr>
        <w:numPr>
          <w:ilvl w:val="0"/>
          <w:numId w:val="2"/>
        </w:numPr>
        <w:spacing w:after="0" w:afterAutospacing="0" w:before="0" w:beforeAutospacing="0"/>
        <w:ind w:left="720" w:hanging="360"/>
        <w:rPr>
          <w:u w:val="none"/>
        </w:rPr>
      </w:pPr>
      <w:r w:rsidDel="00000000" w:rsidR="00000000" w:rsidRPr="00000000">
        <w:rPr>
          <w:rtl w:val="0"/>
        </w:rPr>
        <w:t xml:space="preserve">Machine Learning</w:t>
      </w:r>
      <w:r w:rsidDel="00000000" w:rsidR="00000000" w:rsidRPr="00000000">
        <w:rPr>
          <w:color w:val="ff9900"/>
          <w:rtl w:val="0"/>
        </w:rPr>
        <w:t xml:space="preserve"> </w:t>
      </w:r>
      <w:r w:rsidDel="00000000" w:rsidR="00000000" w:rsidRPr="00000000">
        <w:rPr>
          <w:rtl w:val="0"/>
        </w:rPr>
        <w:t xml:space="preserve"> </w:t>
      </w:r>
    </w:p>
    <w:p w:rsidR="00000000" w:rsidDel="00000000" w:rsidP="00000000" w:rsidRDefault="00000000" w:rsidRPr="00000000" w14:paraId="0000001B">
      <w:pPr>
        <w:numPr>
          <w:ilvl w:val="0"/>
          <w:numId w:val="2"/>
        </w:numPr>
        <w:spacing w:after="0" w:afterAutospacing="0" w:before="0" w:beforeAutospacing="0"/>
        <w:ind w:left="720" w:hanging="360"/>
        <w:rPr>
          <w:u w:val="none"/>
        </w:rPr>
      </w:pPr>
      <w:r w:rsidDel="00000000" w:rsidR="00000000" w:rsidRPr="00000000">
        <w:rPr>
          <w:rtl w:val="0"/>
        </w:rPr>
        <w:t xml:space="preserve">Deep Learning</w:t>
      </w:r>
    </w:p>
    <w:p w:rsidR="00000000" w:rsidDel="00000000" w:rsidP="00000000" w:rsidRDefault="00000000" w:rsidRPr="00000000" w14:paraId="0000001C">
      <w:pPr>
        <w:numPr>
          <w:ilvl w:val="0"/>
          <w:numId w:val="2"/>
        </w:numPr>
        <w:spacing w:before="0" w:beforeAutospacing="0"/>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Style w:val="Heading1"/>
        <w:rPr>
          <w:color w:val="00ab44"/>
        </w:rPr>
      </w:pPr>
      <w:bookmarkStart w:colFirst="0" w:colLast="0" w:name="_x5u0l8hx0kbh"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1E">
      <w:pPr>
        <w:pStyle w:val="Heading2"/>
        <w:spacing w:line="240" w:lineRule="auto"/>
        <w:rPr/>
      </w:pPr>
      <w:bookmarkStart w:colFirst="0" w:colLast="0" w:name="_jltys38rhgql" w:id="6"/>
      <w:bookmarkEnd w:id="6"/>
      <w:r w:rsidDel="00000000" w:rsidR="00000000" w:rsidRPr="00000000">
        <w:rPr>
          <w:color w:val="353744"/>
          <w:sz w:val="22"/>
          <w:szCs w:val="22"/>
          <w:rtl w:val="0"/>
        </w:rPr>
        <w:t xml:space="preserve">Wind Energy Trade with Deep Learning — Time Series Forecasting</w:t>
      </w:r>
      <w:r w:rsidDel="00000000" w:rsidR="00000000" w:rsidRPr="00000000">
        <w:rPr>
          <w:rtl w:val="0"/>
        </w:rPr>
      </w:r>
    </w:p>
    <w:p w:rsidR="00000000" w:rsidDel="00000000" w:rsidP="00000000" w:rsidRDefault="00000000" w:rsidRPr="00000000" w14:paraId="0000001F">
      <w:pPr>
        <w:spacing w:line="240" w:lineRule="auto"/>
        <w:rPr/>
      </w:pPr>
      <w:hyperlink r:id="rId13">
        <w:r w:rsidDel="00000000" w:rsidR="00000000" w:rsidRPr="00000000">
          <w:rPr>
            <w:color w:val="1155cc"/>
            <w:u w:val="single"/>
            <w:rtl w:val="0"/>
          </w:rPr>
          <w:t xml:space="preserve">https://towardsdatascience.com/wind-energy-trade-with-deep-learning-time-series-forecasting-580bd41f163</w:t>
        </w:r>
      </w:hyperlink>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pStyle w:val="Heading2"/>
        <w:spacing w:line="240" w:lineRule="auto"/>
        <w:rPr/>
      </w:pPr>
      <w:bookmarkStart w:colFirst="0" w:colLast="0" w:name="_6x8rkjwa8fzc" w:id="7"/>
      <w:bookmarkEnd w:id="7"/>
      <w:r w:rsidDel="00000000" w:rsidR="00000000" w:rsidRPr="00000000">
        <w:rPr>
          <w:color w:val="353744"/>
          <w:sz w:val="22"/>
          <w:szCs w:val="22"/>
          <w:rtl w:val="0"/>
        </w:rPr>
        <w:t xml:space="preserve">Steadysun</w:t>
      </w:r>
      <w:r w:rsidDel="00000000" w:rsidR="00000000" w:rsidRPr="00000000">
        <w:rPr>
          <w:rtl w:val="0"/>
        </w:rPr>
      </w:r>
    </w:p>
    <w:p w:rsidR="00000000" w:rsidDel="00000000" w:rsidP="00000000" w:rsidRDefault="00000000" w:rsidRPr="00000000" w14:paraId="00000022">
      <w:pPr>
        <w:spacing w:line="240" w:lineRule="auto"/>
        <w:rPr/>
      </w:pPr>
      <w:hyperlink r:id="rId14">
        <w:r w:rsidDel="00000000" w:rsidR="00000000" w:rsidRPr="00000000">
          <w:rPr>
            <w:color w:val="1155cc"/>
            <w:u w:val="single"/>
            <w:rtl w:val="0"/>
          </w:rPr>
          <w:t xml:space="preserve">https://www.steady-sun.com/solution/energy-trading/</w:t>
        </w:r>
      </w:hyperlink>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b w:val="1"/>
          <w:rtl w:val="0"/>
        </w:rPr>
        <w:t xml:space="preserve">Solar Power Forecasting with Machine Learning Techniques</w:t>
      </w:r>
    </w:p>
    <w:p w:rsidR="00000000" w:rsidDel="00000000" w:rsidP="00000000" w:rsidRDefault="00000000" w:rsidRPr="00000000" w14:paraId="00000024">
      <w:pPr>
        <w:spacing w:line="240" w:lineRule="auto"/>
        <w:rPr/>
      </w:pPr>
      <w:hyperlink r:id="rId15">
        <w:r w:rsidDel="00000000" w:rsidR="00000000" w:rsidRPr="00000000">
          <w:rPr>
            <w:color w:val="1155cc"/>
            <w:u w:val="single"/>
            <w:rtl w:val="0"/>
          </w:rPr>
          <w:t xml:space="preserve">https://kth.diva-portal.org/smash/get/diva2:1215661/FULLTEXT02.pdf</w:t>
        </w:r>
      </w:hyperlink>
      <w:r w:rsidDel="00000000" w:rsidR="00000000" w:rsidRPr="00000000">
        <w:rPr>
          <w:rtl w:val="0"/>
        </w:rPr>
      </w:r>
    </w:p>
    <w:p w:rsidR="00000000" w:rsidDel="00000000" w:rsidP="00000000" w:rsidRDefault="00000000" w:rsidRPr="00000000" w14:paraId="00000025">
      <w:pPr>
        <w:spacing w:line="240" w:lineRule="auto"/>
        <w:rPr>
          <w:b w:val="1"/>
        </w:rPr>
      </w:pPr>
      <w:r w:rsidDel="00000000" w:rsidR="00000000" w:rsidRPr="00000000">
        <w:rPr>
          <w:b w:val="1"/>
          <w:rtl w:val="0"/>
        </w:rPr>
        <w:t xml:space="preserve">Github</w:t>
      </w:r>
    </w:p>
    <w:p w:rsidR="00000000" w:rsidDel="00000000" w:rsidP="00000000" w:rsidRDefault="00000000" w:rsidRPr="00000000" w14:paraId="00000026">
      <w:pPr>
        <w:spacing w:line="240" w:lineRule="auto"/>
        <w:rPr/>
      </w:pPr>
      <w:hyperlink r:id="rId16">
        <w:r w:rsidDel="00000000" w:rsidR="00000000" w:rsidRPr="00000000">
          <w:rPr>
            <w:color w:val="1155cc"/>
            <w:u w:val="single"/>
            <w:rtl w:val="0"/>
          </w:rPr>
          <w:t xml:space="preserve">ColasGael/Machine-Learning-for-Solar-Energy-Prediction</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Peer-to-peer energy trading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hyperlink r:id="rId17">
        <w:r w:rsidDel="00000000" w:rsidR="00000000" w:rsidRPr="00000000">
          <w:rPr>
            <w:color w:val="1155cc"/>
            <w:u w:val="single"/>
            <w:rtl w:val="0"/>
          </w:rPr>
          <w:t xml:space="preserve">https://www.irena.org/-/media/Files/IRENA/Agency/Publication/2020/Jul/IRENA_Peer-to-peer_trading_2020.pdf?la=en&amp;hash=D3E25A5BBA6FAC15B9C193F64CA3C8CBFE3F6F41</w:t>
        </w:r>
      </w:hyperlink>
      <w:r w:rsidDel="00000000" w:rsidR="00000000" w:rsidRPr="00000000">
        <w:rPr>
          <w:rtl w:val="0"/>
        </w:rPr>
      </w:r>
    </w:p>
    <w:sectPr>
      <w:headerReference r:id="rId18" w:type="default"/>
      <w:headerReference r:id="rId19" w:type="first"/>
      <w:footerReference r:id="rId2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opendata.reseaux-energies.fr/pages/accueil/" TargetMode="External"/><Relationship Id="rId10" Type="http://schemas.openxmlformats.org/officeDocument/2006/relationships/hyperlink" Target="https://www.bdpv.fr/fr/classement.php" TargetMode="External"/><Relationship Id="rId13" Type="http://schemas.openxmlformats.org/officeDocument/2006/relationships/hyperlink" Target="https://towardsdatascience.com/wind-energy-trade-with-deep-learning-time-series-forecasting-580bd41f163" TargetMode="External"/><Relationship Id="rId12" Type="http://schemas.openxmlformats.org/officeDocument/2006/relationships/hyperlink" Target="https://www.ncei.noaa.gov/access/search/data-search/global-hourly?bbox=51.091,-4.777,41.367,9.553&amp;place=Country:146&amp;stations=071560999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reseaux-energies.fr/explore/dataset/rayonnement-solaire-vitesse-vent-tri-horaires-regionaux/information/?disjunctive.region&amp;sort=date" TargetMode="External"/><Relationship Id="rId15" Type="http://schemas.openxmlformats.org/officeDocument/2006/relationships/hyperlink" Target="https://kth.diva-portal.org/smash/get/diva2:1215661/FULLTEXT02.pdf" TargetMode="External"/><Relationship Id="rId14" Type="http://schemas.openxmlformats.org/officeDocument/2006/relationships/hyperlink" Target="https://www.steady-sun.com/solution/energy-trading/" TargetMode="External"/><Relationship Id="rId17" Type="http://schemas.openxmlformats.org/officeDocument/2006/relationships/hyperlink" Target="https://www.irena.org/-/media/Files/IRENA/Agency/Publication/2020/Jul/IRENA_Peer-to-peer_trading_2020.pdf?la=en&amp;hash=D3E25A5BBA6FAC15B9C193F64CA3C8CBFE3F6F41" TargetMode="External"/><Relationship Id="rId16" Type="http://schemas.openxmlformats.org/officeDocument/2006/relationships/hyperlink" Target="https://github.com/ColasGael/Machine-Learning-for-Solar-Energy-Prediction"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www.cre.fr/Pages-annexes/open-data" TargetMode="External"/><Relationship Id="rId8" Type="http://schemas.openxmlformats.org/officeDocument/2006/relationships/hyperlink" Target="https://opendata.reseaux-energies.fr/explore/dataset/eco2mix-regional-cons-def/table/?disjunctive.libelle_region&amp;disjunctive.nature&amp;sort=solai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