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Научная</w:t>
      </w:r>
      <w:r>
        <w:t xml:space="preserve"> </w:t>
      </w:r>
      <w:r>
        <w:t xml:space="preserve">проблема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“</w:t>
      </w:r>
      <w:r>
        <w:t xml:space="preserve">Колебания</w:t>
      </w:r>
      <w:r>
        <w:t xml:space="preserve"> </w:t>
      </w:r>
      <w:r>
        <w:t xml:space="preserve">цепочек</w:t>
      </w:r>
      <w:r>
        <w:t xml:space="preserve">”</w:t>
      </w:r>
    </w:p>
    <w:p>
      <w:pPr>
        <w:pStyle w:val="Author"/>
      </w:pPr>
      <w:r>
        <w:t xml:space="preserve">Канева</w:t>
      </w:r>
      <w:r>
        <w:t xml:space="preserve"> </w:t>
      </w:r>
      <w:r>
        <w:t xml:space="preserve">Екатерина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актуальность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Все вещества состоят из атомов, которые постоянно колеблются. Изучение этих колебаний помогает нам понять, как материалы ведут себя при разных температурах. Особенно важно понимать, как колебания приводят к тепловому равновесию. Исследование цепочек атомов, связанных пружинками, это простая модель, чтобы понять, как возникают колебания в кристаллах. Эта модель помогает объяснить, почему некоторые классические законы физики работают только при высоких температурах. Понимание колебаний важно для создания новых материалов с нужными свойствами, например, для электроники или термоизоляции.</w:t>
      </w:r>
    </w:p>
    <w:bookmarkEnd w:id="20"/>
    <w:bookmarkStart w:id="21" w:name="цель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закономерности колебаний в простейшей одномерной цепочке атомов, связанных между собой.</w:t>
      </w:r>
    </w:p>
    <w:bookmarkEnd w:id="21"/>
    <w:bookmarkStart w:id="22" w:name="объект-и-предмет-исследования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Объект и предмет исследования</w:t>
      </w:r>
    </w:p>
    <w:p>
      <w:pPr>
        <w:numPr>
          <w:ilvl w:val="0"/>
          <w:numId w:val="1001"/>
        </w:numPr>
        <w:pStyle w:val="Compact"/>
      </w:pPr>
      <w:r>
        <w:t xml:space="preserve">Изучение условий для установления равновесия</w:t>
      </w:r>
    </w:p>
    <w:p>
      <w:pPr>
        <w:numPr>
          <w:ilvl w:val="0"/>
          <w:numId w:val="1001"/>
        </w:numPr>
        <w:pStyle w:val="Compact"/>
      </w:pPr>
      <w:r>
        <w:t xml:space="preserve">Изучение условий для приближения к равновесию</w:t>
      </w:r>
    </w:p>
    <w:p>
      <w:pPr>
        <w:numPr>
          <w:ilvl w:val="0"/>
          <w:numId w:val="1001"/>
        </w:numPr>
        <w:pStyle w:val="Compact"/>
      </w:pPr>
      <w:r>
        <w:t xml:space="preserve">Изучение явлений в простейшем одномерном случае</w:t>
      </w:r>
    </w:p>
    <w:bookmarkEnd w:id="22"/>
    <w:bookmarkStart w:id="23" w:name="задачи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Построить модель цепочки из N частиц.</w:t>
      </w:r>
    </w:p>
    <w:p>
      <w:pPr>
        <w:numPr>
          <w:ilvl w:val="0"/>
          <w:numId w:val="1002"/>
        </w:numPr>
        <w:pStyle w:val="Compact"/>
      </w:pPr>
      <w:r>
        <w:t xml:space="preserve">Задать начальные условия в виде гармоники и измерить собственную частоту. Сравнить результаты с теоретическими</w:t>
      </w:r>
    </w:p>
    <w:p>
      <w:pPr>
        <w:numPr>
          <w:ilvl w:val="0"/>
          <w:numId w:val="1002"/>
        </w:numPr>
        <w:pStyle w:val="Compact"/>
      </w:pPr>
      <w:r>
        <w:t xml:space="preserve">Проверить, используя преобразования Фурье координат и скоростей частиц, что энергия каждой гармоники не меняется</w:t>
      </w:r>
    </w:p>
    <w:p>
      <w:pPr>
        <w:numPr>
          <w:ilvl w:val="0"/>
          <w:numId w:val="1002"/>
        </w:numPr>
        <w:pStyle w:val="Compact"/>
      </w:pPr>
      <w:r>
        <w:t xml:space="preserve">Рассмотреть цепочку с чередующимися частицами</w:t>
      </w:r>
    </w:p>
    <w:bookmarkEnd w:id="23"/>
    <w:bookmarkEnd w:id="24"/>
    <w:bookmarkStart w:id="33" w:name="теоретическое-описание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описание задачи</w:t>
      </w:r>
    </w:p>
    <w:bookmarkStart w:id="25" w:name="колебания-цепочек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Колебания цепочек</w:t>
      </w:r>
    </w:p>
    <w:p>
      <w:pPr>
        <w:pStyle w:val="FirstParagraph"/>
      </w:pPr>
      <w:r>
        <w:t xml:space="preserve">Все тела состоят из атомов. Представим движение атомов, связанных вместе пружинами. Эти колебания, называемые фононами, переносят энергию и импульс через материал, определяя его тепловые и оптические свойства. Колебания цепочек позволяют понять, как тепло распространяется в твёрдых телах, почему закон cV = 3R Дюлонга и Пти хорошо выполняется при не слишком низких температурах, пока влияние квантовых эффектов невелико. Модели колебаний цепочек варьируются от простых одномерных моделей до сложных трёхмерных расчётов, учитывающих взаимодействие между атомами и дефекты решётки.</w:t>
      </w:r>
    </w:p>
    <w:bookmarkEnd w:id="25"/>
    <w:bookmarkStart w:id="30" w:name="гармоническая-цепоч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Гармоническая цепочка</w:t>
      </w:r>
    </w:p>
    <w:p>
      <w:pPr>
        <w:pStyle w:val="FirstParagraph"/>
      </w:pPr>
      <w:r>
        <w:t xml:space="preserve">Рассмотрим простейшую модель, используемую для описания колебаний атомов в твёрдом теле. Она состоит из N идентичных точечных частиц, каждая массой m, расположенных вдоль прямой линии и соединённых между собой идеальными пружинками с одинаковой жёсткостью k. Крайние частицы прикреплены к неподвижным стенкам при помощи пружин. Таким образом, всего в системе N+1 пружин, каждая из которых имеет длину d.</w:t>
      </w:r>
    </w:p>
    <w:p>
      <w:pPr>
        <w:pStyle w:val="BodyText"/>
      </w:pPr>
      <w:r>
        <w:t xml:space="preserve">Если начально пружины не деформированы, то положение равновесия i-й частицы — это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i</m:t>
        </m:r>
        <m:r>
          <m:t>d</m:t>
        </m:r>
      </m:oMath>
      <w:r>
        <w:t xml:space="preserve">. Вводятся малые смещения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от положения равновесия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(считаем, что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много меньше</w:t>
      </w:r>
      <w:r>
        <w:t xml:space="preserve"> </w:t>
      </w:r>
      <m:oMath>
        <m:r>
          <m:t>d</m:t>
        </m:r>
      </m:oMath>
      <w:r>
        <w:t xml:space="preserve">). Тогда силы, действующие на</w:t>
      </w:r>
      <w:r>
        <w:t xml:space="preserve"> </w:t>
      </w:r>
      <m:oMath>
        <m:r>
          <m:t>i</m:t>
        </m:r>
      </m:oMath>
      <w:r>
        <w:t xml:space="preserve">-ю частицу, записываются как: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Соответственно, уравнение движения имеет вид: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bookmarkStart w:id="26" w:name="полная-энергия-систем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Полная энергия системы</w:t>
      </w:r>
    </w:p>
    <w:p>
      <w:pPr>
        <w:pStyle w:val="FirstParagraph"/>
      </w:pPr>
      <w:r>
        <w:t xml:space="preserve">Полная энергия системы учитывает как кинетическую, так и потенциальную энергию: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d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t>d</m:t>
                          </m:r>
                          <m: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.</m:t>
          </m:r>
        </m:oMath>
      </m:oMathPara>
    </w:p>
    <w:bookmarkEnd w:id="26"/>
    <w:bookmarkStart w:id="27" w:name="решение-уравнения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Решение уравнения</w:t>
      </w:r>
    </w:p>
    <w:p>
      <w:pPr>
        <w:pStyle w:val="FirstParagraph"/>
      </w:pPr>
      <w:r>
        <w:t xml:space="preserve">Физически обоснованным решением является форма стоячей волны: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Граничные условия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приводят к ограничению на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t>d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Это выполняется при значениях: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π</m:t>
              </m:r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t>d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bookmarkEnd w:id="27"/>
    <w:bookmarkStart w:id="28" w:name="дисперсионное-соотношение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Дисперсионное соотношение</w:t>
      </w:r>
    </w:p>
    <w:p>
      <w:pPr>
        <w:pStyle w:val="FirstParagraph"/>
      </w:pPr>
      <w:r>
        <w:t xml:space="preserve">Подставляя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в уравнение движения,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r>
            <m:t>2</m:t>
          </m:r>
          <m:sSub>
            <m:e>
              <m:r>
                <m:t>ω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l</m:t>
                  </m:r>
                  <m:r>
                    <m:t>π</m:t>
                  </m:r>
                </m:num>
                <m:den>
                  <m:r>
                    <m:t>2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e>
          </m:d>
          <m:r>
            <m:rPr>
              <m:sty m:val="p"/>
            </m:rPr>
            <m:t>,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k</m:t>
            </m:r>
            <m:r>
              <m:rPr>
                <m:sty m:val="p"/>
              </m:rPr>
              <m:t>/</m:t>
            </m:r>
            <m:r>
              <m:t>m</m:t>
            </m:r>
          </m:e>
        </m:rad>
      </m:oMath>
      <w:r>
        <w:t xml:space="preserve">.</w:t>
      </w:r>
    </w:p>
    <w:bookmarkEnd w:id="28"/>
    <w:bookmarkStart w:id="29" w:name="собственные-моды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Собственные моды</w:t>
      </w:r>
    </w:p>
    <w:p>
      <w:pPr>
        <w:pStyle w:val="FirstParagraph"/>
      </w:pPr>
      <w:r>
        <w:t xml:space="preserve">В системе существуют различные моды колебаний, соответствующие различным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</m:oMath>
      <w:r>
        <w:t xml:space="preserve">. Эти моды не взаимодействуют между собой и называются гармониками. В музыке волна с волновым числом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называется основным тоном, а остальные — обертонами.</w:t>
      </w:r>
    </w:p>
    <w:bookmarkEnd w:id="29"/>
    <w:bookmarkEnd w:id="30"/>
    <w:bookmarkStart w:id="31" w:name="ангармоническая-цепочк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Ангармоническая цепочка</w:t>
      </w:r>
    </w:p>
    <w:p>
      <w:pPr>
        <w:pStyle w:val="FirstParagraph"/>
      </w:pPr>
      <w:r>
        <w:t xml:space="preserve">Для реальных пружин линейное выражение для возвращающей силы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k</m:t>
        </m:r>
        <m:r>
          <m:t>x</m:t>
        </m:r>
      </m:oMath>
      <w:r>
        <w:t xml:space="preserve"> </w:t>
      </w:r>
      <w:r>
        <w:t xml:space="preserve">верно только для малых деформаций. При больших сжатиях</w:t>
      </w:r>
      <w:r>
        <w:t xml:space="preserve"> </w:t>
      </w:r>
      <w:r>
        <w:t xml:space="preserve">пружины сила обычно больше, а при больших растяжениях меньше, чем</w:t>
      </w:r>
      <w:r>
        <w:t xml:space="preserve"> </w:t>
      </w:r>
      <m:oMath>
        <m:r>
          <m:t>k</m:t>
        </m:r>
        <m:r>
          <m:t>x</m:t>
        </m:r>
      </m:oMath>
      <w:r>
        <w:t xml:space="preserve">. Такую зависимость можно получить, добавив еще одно слагаемое к силе: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α</m:t>
                  </m:r>
                  <m:r>
                    <m:t>x</m:t>
                  </m:r>
                </m:num>
                <m:den>
                  <m:r>
                    <m:t>d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Здесь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— безразмерный коэффициент. В этом случае выражение для энергии будет выглядеть так: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d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t>d</m:t>
                          </m:r>
                          <m: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  <m:r>
                <m:t>α</m:t>
              </m:r>
            </m:num>
            <m:den>
              <m:r>
                <m:t>3</m:t>
              </m:r>
              <m:r>
                <m:t>d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3</m:t>
                  </m:r>
                </m:sup>
              </m:sSup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1950-х годах Э. Ферми, С. Улам и Д. Паста (FPU) предложили задачу, связанную с нелинейными колебаниями, для численного решения на одном из первых компьютеров MANIAC-I. В рассмотренной модели энергия одной пружины описывалась уравнением с дополнительными нелинейными членами. Ожидалось, что из-за нелинейных эффектов система постепенно термализуется, то есть энергия равномерно распределится по всем модам колебаний.</w:t>
      </w:r>
    </w:p>
    <w:p>
      <w:pPr>
        <w:pStyle w:val="BodyText"/>
      </w:pPr>
      <w:r>
        <w:t xml:space="preserve">Однако расчеты показали неожиданный результат: никакой термализации не происходило. Вместо этого энергия, начавшаяся с первой моды, распределялась лишь между небольшим числом других мод. В частности, в системе из 32 частиц моды с номерами больше 5 получали менее 1 % энергии. Более того, через относительно короткое время (~160 периодов основной моды) система возвращалась в состояние, почти идентичное начальному. Такое поведение получило название квазипериодичности.</w:t>
      </w:r>
    </w:p>
    <w:p>
      <w:pPr>
        <w:pStyle w:val="BodyText"/>
      </w:pPr>
      <w:r>
        <w:t xml:space="preserve">Этот эффект вызвал большой интерес к нелинейным динамическим системам. Более длительные расчеты показали, что возврат к начальному состоянию был неполным: около 98 % энергии возвращалось, но со временем дефицит увеличивался. Это дало надежду на возможную термализацию, если ждать достаточно долго. Однако спустя 8</w:t>
      </w:r>
      <w:r>
        <w:t xml:space="preserve"> </w:t>
      </w:r>
      <w:r>
        <w:t xml:space="preserve">“</w:t>
      </w:r>
      <w:r>
        <w:t xml:space="preserve">больших периодов</w:t>
      </w:r>
      <w:r>
        <w:t xml:space="preserve">”</w:t>
      </w:r>
      <w:r>
        <w:t xml:space="preserve"> </w:t>
      </w:r>
      <w:r>
        <w:t xml:space="preserve">разница начала уменьшаться, а через 16 периодов произошел практически полный возврат к начальному состоянию. Это явление получило название сверхпериодичности.</w:t>
      </w:r>
    </w:p>
    <w:p>
      <w:pPr>
        <w:pStyle w:val="BodyText"/>
      </w:pPr>
      <w:r>
        <w:t xml:space="preserve">Исследования FPU продолжались около 20 лет, используя методы математики и механики, и привели к множеству открытий. Одним из главных последствий стало то, что эта задача положила начало численному моделированию в физике.</w:t>
      </w:r>
    </w:p>
    <w:bookmarkEnd w:id="31"/>
    <w:bookmarkStart w:id="32" w:name="вывод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первом этапе группового проекта мы сделали теоретическое описание модели гармнонических и ангармонических колебаний и определили задачи дальнейшего исследования.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Канева Екатерина; Клюкин Михаил; Ланцова Яна</dc:creator>
  <dc:language>ru-RU</dc:language>
  <cp:keywords/>
  <dcterms:created xsi:type="dcterms:W3CDTF">2025-03-22T17:29:10Z</dcterms:created>
  <dcterms:modified xsi:type="dcterms:W3CDTF">2025-03-22T17:29:10Z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Научная проблема проекта “Колебания цепочек”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