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Модель системы массового обслуживания M|M|1</w:t>
      </w:r>
    </w:p>
    <w:p>
      <w:pPr>
        <w:pStyle w:val="Author"/>
      </w:pPr>
      <w:r>
        <w:t xml:space="preserve">Ланцова Яна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в CPN Tools модель системы массового обслуживания M|M|1.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в CPN Tools модель системы массового обслуживания M|M|1.</w:t>
      </w:r>
    </w:p>
    <w:p>
      <w:pPr>
        <w:pStyle w:val="Compact"/>
        <w:numPr>
          <w:ilvl w:val="0"/>
          <w:numId w:val="1001"/>
        </w:numPr>
      </w:pPr>
      <w:r>
        <w:t xml:space="preserve">Настроить мониторинг параметров моделируемой системы и нарисовать графики очереди.</w:t>
      </w:r>
    </w:p>
    <w:bookmarkEnd w:id="21"/>
    <w:bookmarkStart w:id="7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2" w:name="X67eb748932f88f3200a58ee98c8ee8b581b3629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модели системы массового обслуживания M|M|1 в CPN Tools</w:t>
      </w:r>
    </w:p>
    <w:p>
      <w:pPr>
        <w:pStyle w:val="FirstParagraph"/>
      </w:pPr>
      <w:r>
        <w:t xml:space="preserve">Зададим декларации системы(рис. 1).</w:t>
      </w:r>
    </w:p>
    <w:p>
      <w:pPr>
        <w:pStyle w:val="Compact"/>
        <w:numPr>
          <w:ilvl w:val="0"/>
          <w:numId w:val="1002"/>
        </w:numPr>
      </w:pPr>
      <w:r>
        <w:t xml:space="preserve">фишки типа UNIT определяют моменты времени;</w:t>
      </w:r>
    </w:p>
    <w:p>
      <w:pPr>
        <w:pStyle w:val="Compact"/>
        <w:numPr>
          <w:ilvl w:val="0"/>
          <w:numId w:val="1002"/>
        </w:numPr>
      </w:pPr>
      <w:r>
        <w:t xml:space="preserve">фишки типа INT определяют моменты поступления заявок в систему.</w:t>
      </w:r>
    </w:p>
    <w:p>
      <w:pPr>
        <w:pStyle w:val="Compact"/>
        <w:numPr>
          <w:ilvl w:val="0"/>
          <w:numId w:val="1002"/>
        </w:numPr>
      </w:pPr>
      <w:r>
        <w:t xml:space="preserve">фишки типа JobType определяют 2 типа заявок — A и B;</w:t>
      </w:r>
    </w:p>
    <w:p>
      <w:pPr>
        <w:pStyle w:val="Compact"/>
        <w:numPr>
          <w:ilvl w:val="0"/>
          <w:numId w:val="1002"/>
        </w:numPr>
      </w:pPr>
      <w:r>
        <w:t xml:space="preserve">кортеж Job имеет 2 поля: jobType определяет тип работы, соответственно имеет тип JobType, поле AT имеет тип INT и используется для хранения времени нахождения заявки в системе;</w:t>
      </w:r>
    </w:p>
    <w:p>
      <w:pPr>
        <w:pStyle w:val="Compact"/>
        <w:numPr>
          <w:ilvl w:val="0"/>
          <w:numId w:val="1002"/>
        </w:numPr>
      </w:pPr>
      <w:r>
        <w:t xml:space="preserve">фишки Jobs — список заявок;</w:t>
      </w:r>
    </w:p>
    <w:p>
      <w:pPr>
        <w:pStyle w:val="Compact"/>
        <w:numPr>
          <w:ilvl w:val="0"/>
          <w:numId w:val="1002"/>
        </w:numPr>
      </w:pPr>
      <w:r>
        <w:t xml:space="preserve">фишки типа ServerxJob — определяют состояние сервера, занятого обработкой заявок.</w:t>
      </w:r>
      <w:r>
        <w:t xml:space="preserve"> </w:t>
      </w:r>
      <w:r>
        <w:t xml:space="preserve">Переменные модели:</w:t>
      </w:r>
    </w:p>
    <w:p>
      <w:pPr>
        <w:pStyle w:val="Compact"/>
        <w:numPr>
          <w:ilvl w:val="0"/>
          <w:numId w:val="1002"/>
        </w:numPr>
      </w:pPr>
      <w:r>
        <w:t xml:space="preserve">proctime — определяет время обработки заявки;</w:t>
      </w:r>
    </w:p>
    <w:p>
      <w:pPr>
        <w:pStyle w:val="Compact"/>
        <w:numPr>
          <w:ilvl w:val="0"/>
          <w:numId w:val="1002"/>
        </w:numPr>
      </w:pPr>
      <w:r>
        <w:t xml:space="preserve">job — определяет тип заявки;</w:t>
      </w:r>
    </w:p>
    <w:p>
      <w:pPr>
        <w:pStyle w:val="Compact"/>
        <w:numPr>
          <w:ilvl w:val="0"/>
          <w:numId w:val="1002"/>
        </w:numPr>
      </w:pPr>
      <w:r>
        <w:t xml:space="preserve">jobs — определяет поступление заявок в очередь</w:t>
      </w:r>
    </w:p>
    <w:bookmarkStart w:id="25" w:name="fig:001"/>
    <w:p>
      <w:pPr>
        <w:pStyle w:val="CaptionedFigure"/>
      </w:pPr>
      <w:r>
        <w:drawing>
          <wp:inline>
            <wp:extent cx="3557707" cy="1890272"/>
            <wp:effectExtent b="0" l="0" r="0" t="0"/>
            <wp:docPr descr="Рис. 1: Декларации модели СМО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707" cy="1890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Декларации модели СМО</w:t>
      </w:r>
    </w:p>
    <w:bookmarkEnd w:id="25"/>
    <w:p>
      <w:pPr>
        <w:pStyle w:val="BodyText"/>
      </w:pPr>
      <w:r>
        <w:t xml:space="preserve">Также зададим функции (рис. 2) expTime (описывает генерацию целочисленных значений через интервалы времени, распределённые по экспоненциальному закону), intTime (преобразует текущее модельное время в целое число), newJob (возвращает значение из набора Job — случайный выбор типа заявки).</w:t>
      </w:r>
    </w:p>
    <w:bookmarkStart w:id="29" w:name="fig:002"/>
    <w:p>
      <w:pPr>
        <w:pStyle w:val="CaptionedFigure"/>
      </w:pPr>
      <w:r>
        <w:drawing>
          <wp:inline>
            <wp:extent cx="2896880" cy="1444598"/>
            <wp:effectExtent b="0" l="0" r="0" t="0"/>
            <wp:docPr descr="Рис. 2: Декларации модели СМО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880" cy="1444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Декларации модели СМО</w:t>
      </w:r>
    </w:p>
    <w:bookmarkEnd w:id="29"/>
    <w:p>
      <w:pPr>
        <w:pStyle w:val="BodyText"/>
      </w:pPr>
      <w:r>
        <w:t xml:space="preserve">Модель состоит из трех отдельных листов: на первом листе опишем граф системы(рис. 3), на втором — генератор заявок (рис. 4):, на третьем — сервер обработки заявок (рис. 5).</w:t>
      </w:r>
    </w:p>
    <w:p>
      <w:pPr>
        <w:pStyle w:val="BodyText"/>
      </w:pPr>
      <w:r>
        <w:t xml:space="preserve">Сеть имеет 2 позиции (очередь — Queue, обслуженные заявки — Complited) и два перехода (генерировать заявку — Arrivals, передать заявку на обработку серверу - Server). Переходы имеют сложную иерархическую структуру, задаваемую на отдельных листах модели (с помощью соответствующего инструмента меню - Hierarchy).</w:t>
      </w:r>
    </w:p>
    <w:p>
      <w:pPr>
        <w:pStyle w:val="BodyText"/>
      </w:pPr>
      <w:r>
        <w:t xml:space="preserve">Между переходом Arrivals и позицией Queue, а также между позицией Queue и переходом Server установлена дуплексная связь. Между переходом Server и позицией Complited — односторонняя связь.</w:t>
      </w:r>
    </w:p>
    <w:p>
      <w:pPr>
        <w:pStyle w:val="BodyText"/>
      </w:pPr>
      <w:r>
        <w:t xml:space="preserve">Граф генератора заявок имеет 3 позиции (текущая заявка — Init, следующая заявка — Next, очередь — Queue из листа System) и 2 перехода (Init — определяет распределение поступления заявок по экспоненциальному закону с интенсивностью 100 заявок в единицу времени, Arrive — определяет поступление заявок в очередь).</w:t>
      </w:r>
    </w:p>
    <w:p>
      <w:pPr>
        <w:pStyle w:val="BodyText"/>
      </w:pPr>
      <w:r>
        <w:t xml:space="preserve">Граф процесса обработки заявок на сервере имеет 4 позиции (Busy — сервер занят, Idle — сервер в режиме ожидания, Queue и Complited из листа System) и 2 перехода (Start — начать обработку заявки, Stop — закончить обработку заявки).</w:t>
      </w:r>
    </w:p>
    <w:bookmarkStart w:id="33" w:name="fig:003"/>
    <w:p>
      <w:pPr>
        <w:pStyle w:val="CaptionedFigure"/>
      </w:pPr>
      <w:r>
        <w:drawing>
          <wp:inline>
            <wp:extent cx="3733800" cy="2685948"/>
            <wp:effectExtent b="0" l="0" r="0" t="0"/>
            <wp:docPr descr="Рис. 3: Граф и параметры сети системы обработки заявок в очереди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5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 и параметры сети системы обработки заявок в очереди</w:t>
      </w:r>
    </w:p>
    <w:bookmarkEnd w:id="33"/>
    <w:bookmarkStart w:id="37" w:name="fig:004"/>
    <w:p>
      <w:pPr>
        <w:pStyle w:val="CaptionedFigure"/>
      </w:pPr>
      <w:r>
        <w:drawing>
          <wp:inline>
            <wp:extent cx="3733800" cy="2699132"/>
            <wp:effectExtent b="0" l="0" r="0" t="0"/>
            <wp:docPr descr="Рис. 4: Граф и параметры генератора заявок системы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9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 и параметры генератора заявок системы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720907"/>
            <wp:effectExtent b="0" l="0" r="0" t="0"/>
            <wp:docPr descr="Рис. 5: Граф и параметры процесса обработки заявок на сервере системы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0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 и параметры процесса обработки заявок на сервере системы</w:t>
      </w:r>
    </w:p>
    <w:bookmarkEnd w:id="41"/>
    <w:bookmarkEnd w:id="42"/>
    <w:bookmarkStart w:id="71" w:name="X064ddc7dd2d7c16b1ffbb5b3d20df092cd9b74b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Мониторинг параметров моделируемой системы</w:t>
      </w:r>
    </w:p>
    <w:p>
      <w:pPr>
        <w:pStyle w:val="FirstParagraph"/>
      </w:pPr>
      <w:r>
        <w:t xml:space="preserve">Потребуется палитра Monitoring. Выбираем Break Point (точка останова) и устанавливаем её на переход Start. После этого в разделе меню Monitor появится новый подраздел, который назовём Ostanovka. В этом подразделе необходимо внести изменения в функцию Predicate, которая будет выполняться при запуске монитора. Зададим число шагов, через которое будем останавливать мониторинг. Для этого true заменим на Queue_Delay.count()=200. Необходимо определить конструкцию Queue_Delay.count(). С помощью палитры Monitoring выбираем Data Call и устанавливаем на переходе Start. Появившийся в меню монитор называем Queue Delay (без подчеркивания). Функция Observer выполняется тогда, когда функция предикатора выдаёт значение true. По умолчанию функция выдаёт 0 или унарный минус (~1), подчёркивание обозначает произвольный аргумент. Изменим её так, чтобы получить значение задержки в очереди. Для этого необходимо из текущего времени intTime() вычесть временную метку AT , означающую приход заявки в очередь.</w:t>
      </w:r>
    </w:p>
    <w:p>
      <w:pPr>
        <w:pStyle w:val="BodyText"/>
      </w:pPr>
      <w:r>
        <w:t xml:space="preserve">В результате функции примут вид(рис. 6). Из него может увидеть:</w:t>
      </w:r>
    </w:p>
    <w:bookmarkStart w:id="46" w:name="fig:006"/>
    <w:p>
      <w:pPr>
        <w:pStyle w:val="CaptionedFigure"/>
      </w:pPr>
      <w:r>
        <w:drawing>
          <wp:inline>
            <wp:extent cx="3733800" cy="3205240"/>
            <wp:effectExtent b="0" l="0" r="0" t="0"/>
            <wp:docPr descr="Рис. 6: Функция Predicate монитора Ostanovka и функция Observer монитора Queue Delay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5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Функция Predicate монитора Ostanovka и функция Observer монитора Queue Delay</w:t>
      </w:r>
    </w:p>
    <w:bookmarkEnd w:id="46"/>
    <w:p>
      <w:pPr>
        <w:pStyle w:val="BodyText"/>
      </w:pPr>
      <w:r>
        <w:t xml:space="preserve">После запуска программы на выполнение в каталоге с кодом программы появится файл Queue_Delay.log (рис. 7), содержащий в первой колонке — значение задержки очереди, во второй — счётчик, в третьей — шаг, в четвёртой — время. С помощью gnuplot можно построить график значений задержки в очереди (рис. 8), выбрав по оси x время, а по оси y — значения задержки:</w:t>
      </w:r>
    </w:p>
    <w:bookmarkStart w:id="50" w:name="fig:007"/>
    <w:p>
      <w:pPr>
        <w:pStyle w:val="CaptionedFigure"/>
      </w:pPr>
      <w:r>
        <w:drawing>
          <wp:inline>
            <wp:extent cx="3733800" cy="4721550"/>
            <wp:effectExtent b="0" l="0" r="0" t="0"/>
            <wp:docPr descr="Рис. 7: log файл Queue_Delay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21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log файл Queue_Delay</w:t>
      </w:r>
    </w:p>
    <w:bookmarkEnd w:id="50"/>
    <w:bookmarkStart w:id="54" w:name="fig:008"/>
    <w:p>
      <w:pPr>
        <w:pStyle w:val="CaptionedFigure"/>
      </w:pPr>
      <w:r>
        <w:drawing>
          <wp:inline>
            <wp:extent cx="3733800" cy="2777517"/>
            <wp:effectExtent b="0" l="0" r="0" t="0"/>
            <wp:docPr descr="Рис. 8: График изменения задержки в очереди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7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График изменения задержки в очереди</w:t>
      </w:r>
    </w:p>
    <w:bookmarkEnd w:id="54"/>
    <w:p>
      <w:pPr>
        <w:pStyle w:val="BodyText"/>
      </w:pPr>
      <w:r>
        <w:t xml:space="preserve">Посчитаем задержку в действительных значениях. С помощью палитры Monitoring выбираем Data Call и устанавливаем на переходе Start. Появившийся в меню монитор называем Queue Delay Real. Функцию Observer изменим следующим образом(рис. 9):</w:t>
      </w:r>
    </w:p>
    <w:bookmarkStart w:id="58" w:name="fig:009"/>
    <w:p>
      <w:pPr>
        <w:pStyle w:val="CaptionedFigure"/>
      </w:pPr>
      <w:r>
        <w:drawing>
          <wp:inline>
            <wp:extent cx="3733800" cy="1997972"/>
            <wp:effectExtent b="0" l="0" r="0" t="0"/>
            <wp:docPr descr="Рис. 9: Функция Observer монитора Queue Delay Real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7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Функция Observer монитора Queue Delay Real</w:t>
      </w:r>
    </w:p>
    <w:bookmarkEnd w:id="58"/>
    <w:p>
      <w:pPr>
        <w:pStyle w:val="BodyText"/>
      </w:pPr>
      <w:r>
        <w:t xml:space="preserve">По сравнению с предыдущим описанием функции добавлено преобразование значения функции из целого в действительное, при этом obsBindElem принимает значение ~1.0. После запуска программы на выполнение в каталоге с кодом программы появится файл Queue_Delay_Real.log с содержимым, аналогичным содержимому файла Queue_Delay.log, но значения задержки имеют действительный тип(рис. 10):</w:t>
      </w:r>
    </w:p>
    <w:bookmarkStart w:id="62" w:name="fig:010"/>
    <w:p>
      <w:pPr>
        <w:pStyle w:val="CaptionedFigure"/>
      </w:pPr>
      <w:r>
        <w:drawing>
          <wp:inline>
            <wp:extent cx="3733800" cy="5744789"/>
            <wp:effectExtent b="0" l="0" r="0" t="0"/>
            <wp:docPr descr="Рис. 10: Содержимое Queue_Delay_Real.log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44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Содержимое Queue_Delay_Real.log</w:t>
      </w:r>
    </w:p>
    <w:bookmarkEnd w:id="62"/>
    <w:p>
      <w:pPr>
        <w:pStyle w:val="BodyText"/>
      </w:pPr>
      <w:r>
        <w:t xml:space="preserve">Посчитаем, сколько раз задержка превысила заданное значение. С помощью палитры Monitoring выбираем Data Call и устанавливаем на переходе Start. Монитор называем Long Delay Time. Функцию Observer изменим следующим образом(рис. 11):</w:t>
      </w:r>
    </w:p>
    <w:bookmarkStart w:id="66" w:name="fig:011"/>
    <w:p>
      <w:pPr>
        <w:pStyle w:val="CaptionedFigure"/>
      </w:pPr>
      <w:r>
        <w:drawing>
          <wp:inline>
            <wp:extent cx="3733800" cy="1579404"/>
            <wp:effectExtent b="0" l="0" r="0" t="0"/>
            <wp:docPr descr="Рис. 11: Функция Observer монитора Long Delay Time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9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Функция Observer монитора Long Delay Time</w:t>
      </w:r>
    </w:p>
    <w:bookmarkEnd w:id="66"/>
    <w:p>
      <w:pPr>
        <w:pStyle w:val="BodyText"/>
      </w:pPr>
      <w:r>
        <w:t xml:space="preserve">С помощью gnuplot можно построить график (рис. 12), демонстрирующий, в какие периоды времени значения задержки в очереди превышали заданное значение 200.</w:t>
      </w:r>
    </w:p>
    <w:bookmarkStart w:id="70" w:name="fig:012"/>
    <w:p>
      <w:pPr>
        <w:pStyle w:val="CaptionedFigure"/>
      </w:pPr>
      <w:r>
        <w:drawing>
          <wp:inline>
            <wp:extent cx="3733800" cy="2776278"/>
            <wp:effectExtent b="0" l="0" r="0" t="0"/>
            <wp:docPr descr="Рис. 12: Периоды времени, когда значения задержки в очереди превышали заданное значение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6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Периоды времени, когда значения задержки в очереди превышали заданное значение</w:t>
      </w:r>
    </w:p>
    <w:bookmarkEnd w:id="70"/>
    <w:bookmarkEnd w:id="71"/>
    <w:bookmarkEnd w:id="72"/>
    <w:bookmarkStart w:id="7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была реализована в CPN Tools модель системы массового обслуживания M|M|1.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Ланцова Яна Игоревна</dc:creator>
  <dc:language>ru-RU</dc:language>
  <cp:keywords/>
  <dcterms:created xsi:type="dcterms:W3CDTF">2025-04-19T11:40:17Z</dcterms:created>
  <dcterms:modified xsi:type="dcterms:W3CDTF">2025-04-19T11:40:17Z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Модель системы массового обслуживания M|M|1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