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Модель эпидемии (SIR)</w:t>
      </w:r>
    </w:p>
    <w:p>
      <w:pPr>
        <w:pStyle w:val="Author"/>
      </w:pPr>
      <w:r>
        <w:t xml:space="preserve">Ланцова 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модель SIR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в</w:t>
      </w:r>
      <w:r>
        <w:t xml:space="preserve"> </w:t>
      </w:r>
      <w:r>
        <w:rPr>
          <w:i/>
          <w:iCs/>
        </w:rPr>
        <w:t xml:space="preserve">xcos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помощью блока Modelica в в</w:t>
      </w:r>
      <w:r>
        <w:t xml:space="preserve"> </w:t>
      </w:r>
      <w:r>
        <w:rPr>
          <w:i/>
          <w:iCs/>
        </w:rPr>
        <w:t xml:space="preserve">xcos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OpenModelica;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учётом процесса рождения / гибели особей в xcos (в том числе и с использованием блока Modelica), а также в OpenModelica;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эпидемического порога при различных значениях параметров модели (в частности изменяя параметр</w:t>
      </w:r>
      <w:r>
        <w:t xml:space="preserve"> </w:t>
      </w:r>
      <m:oMath>
        <m:r>
          <m:t>μ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Сделать анализ полученных графиков в зависимости от выбранных значений параметров модели.</w:t>
      </w:r>
    </w:p>
    <w:bookmarkEnd w:id="21"/>
    <w:bookmarkStart w:id="10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Задача о распространении эпидемии описывается системой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– скорость заражения,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– скорость выздоровления.</w:t>
      </w:r>
    </w:p>
    <w:p>
      <w:pPr>
        <w:pStyle w:val="BodyText"/>
      </w:pPr>
      <w:r>
        <w:t xml:space="preserve">Для реализации модели (рис. 1) потребуются следующие блоки xcos: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CLOCK_c</w:t>
      </w:r>
      <w:r>
        <w:t xml:space="preserve"> </w:t>
      </w:r>
      <w:r>
        <w:t xml:space="preserve">– запуск часов модельного времени;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CSCOPE</w:t>
      </w:r>
      <w:r>
        <w:t xml:space="preserve"> </w:t>
      </w:r>
      <w:r>
        <w:t xml:space="preserve">– регистрирующее устройство для построения графика;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TEXT_f</w:t>
      </w:r>
      <w:r>
        <w:t xml:space="preserve"> </w:t>
      </w:r>
      <w:r>
        <w:t xml:space="preserve">– задаёт текст примечаний;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MUX</w:t>
      </w:r>
      <w:r>
        <w:t xml:space="preserve"> </w:t>
      </w:r>
      <w:r>
        <w:t xml:space="preserve">– мультиплексер, позволяющий в данном случае вывести на графике сразу</w:t>
      </w:r>
      <w:r>
        <w:t xml:space="preserve"> </w:t>
      </w:r>
      <w:r>
        <w:t xml:space="preserve">несколько кривых;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INTEGRAL_m</w:t>
      </w:r>
      <w:r>
        <w:t xml:space="preserve"> </w:t>
      </w:r>
      <w:r>
        <w:t xml:space="preserve">– блок интегрирования;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GAINBLK_f</w:t>
      </w:r>
      <w:r>
        <w:t xml:space="preserve"> </w:t>
      </w:r>
      <w:r>
        <w:t xml:space="preserve">– в данном случае позволяет задать значения коэффициентов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SUMMATION</w:t>
      </w:r>
      <w:r>
        <w:t xml:space="preserve"> </w:t>
      </w:r>
      <w:r>
        <w:t xml:space="preserve">– блок суммирования;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PROD_f</w:t>
      </w:r>
      <w:r>
        <w:t xml:space="preserve"> </w:t>
      </w:r>
      <w:r>
        <w:t xml:space="preserve">– поэлементное произведение двух векторов на входе блока.</w:t>
      </w:r>
    </w:p>
    <w:bookmarkStart w:id="25" w:name="fig:001"/>
    <w:p>
      <w:pPr>
        <w:pStyle w:val="CaptionedFigure"/>
      </w:pPr>
      <w:r>
        <w:drawing>
          <wp:inline>
            <wp:extent cx="3733800" cy="2252228"/>
            <wp:effectExtent b="0" l="0" r="0" t="0"/>
            <wp:docPr descr="Рис. 1: модель SIR Xcos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SIR Xcos</w:t>
      </w:r>
    </w:p>
    <w:bookmarkEnd w:id="25"/>
    <w:p>
      <w:pPr>
        <w:pStyle w:val="BodyText"/>
      </w:pPr>
      <w:r>
        <w:t xml:space="preserve">В параметрах верхнего и среднего блока интегрирования необходимо задать начальные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(рис. 2 - 3).</w:t>
      </w:r>
    </w:p>
    <w:bookmarkStart w:id="29" w:name="fig:002"/>
    <w:p>
      <w:pPr>
        <w:pStyle w:val="CaptionedFigure"/>
      </w:pPr>
      <w:r>
        <w:drawing>
          <wp:inline>
            <wp:extent cx="3504134" cy="2506606"/>
            <wp:effectExtent b="0" l="0" r="0" t="0"/>
            <wp:docPr descr="Рис. 2: Задание начальных значений в блоках интегрирован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34" cy="250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начальных значений в блоках интегрирования</w:t>
      </w:r>
    </w:p>
    <w:bookmarkEnd w:id="29"/>
    <w:bookmarkStart w:id="33" w:name="fig:003"/>
    <w:p>
      <w:pPr>
        <w:pStyle w:val="CaptionedFigure"/>
      </w:pPr>
      <w:r>
        <w:drawing>
          <wp:inline>
            <wp:extent cx="3491345" cy="2557762"/>
            <wp:effectExtent b="0" l="0" r="0" t="0"/>
            <wp:docPr descr="Рис. 3: Задание начальных значений в блоках интегрировани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45" cy="255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начальных значений в блоках интегрирования</w:t>
      </w:r>
    </w:p>
    <w:bookmarkEnd w:id="33"/>
    <w:p>
      <w:pPr>
        <w:pStyle w:val="BodyText"/>
      </w:pPr>
      <w:r>
        <w:t xml:space="preserve">В меню Моделирование, Установка зададим конечное время интегрирования, равным времени моделирования, в данном случае 30 (рис. 4)</w:t>
      </w:r>
    </w:p>
    <w:bookmarkStart w:id="37" w:name="fig:004"/>
    <w:p>
      <w:pPr>
        <w:pStyle w:val="CaptionedFigure"/>
      </w:pPr>
      <w:r>
        <w:drawing>
          <wp:inline>
            <wp:extent cx="3733800" cy="1790700"/>
            <wp:effectExtent b="0" l="0" r="0" t="0"/>
            <wp:docPr descr="Рис. 4: Задание конечного времени интегрирования в xcos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конечного времени интегрирования в xcos</w:t>
      </w:r>
    </w:p>
    <w:bookmarkEnd w:id="37"/>
    <w:p>
      <w:pPr>
        <w:pStyle w:val="BodyText"/>
      </w:pPr>
      <w:r>
        <w:t xml:space="preserve">Результат моделирования представлен на рис. 5. Черной линией обозначен график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(динамика численности уязвимых к болезни особей), красная линия определяет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выздоровевших особей, наконец, зеленая линия определяет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заражённых особей. Пересечение трёх линий определяет порог эпидемии.</w:t>
      </w:r>
    </w:p>
    <w:bookmarkStart w:id="41" w:name="fig:005"/>
    <w:p>
      <w:pPr>
        <w:pStyle w:val="CaptionedFigure"/>
      </w:pPr>
      <w:r>
        <w:drawing>
          <wp:inline>
            <wp:extent cx="3733800" cy="3196132"/>
            <wp:effectExtent b="0" l="0" r="0" t="0"/>
            <wp:docPr descr="Рис. 5: Эпидемический порог модели SIR при \beta = 1, \nu = 0.3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41"/>
    <w:p>
      <w:pPr>
        <w:pStyle w:val="BodyText"/>
      </w:pPr>
      <w:r>
        <w:t xml:space="preserve">Реализуем модель с помощью блока Modelica в xcos. Готовая модель SIR представлена на рис 6.</w:t>
      </w:r>
    </w:p>
    <w:p>
      <w:pPr>
        <w:pStyle w:val="BodyText"/>
      </w:pPr>
      <w:r>
        <w:t xml:space="preserve">Для реализации модели SIR с помощью языка Modelica помимо блоков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MUX</w:t>
      </w:r>
      <w:r>
        <w:t xml:space="preserve"> </w:t>
      </w:r>
      <w:r>
        <w:t xml:space="preserve">требуются блоки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— задаёт константу;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 generic) — блок реализации кода на языке Modelica.</w:t>
      </w:r>
    </w:p>
    <w:bookmarkStart w:id="45" w:name="fig:006"/>
    <w:p>
      <w:pPr>
        <w:pStyle w:val="CaptionedFigure"/>
      </w:pPr>
      <w:r>
        <w:drawing>
          <wp:inline>
            <wp:extent cx="3733800" cy="2841653"/>
            <wp:effectExtent b="0" l="0" r="0" t="0"/>
            <wp:docPr descr="Рис. 6: Модель SIR в xcos с применением блока Modelica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Модель SIR в xcos с применением блока Modelica</w:t>
      </w:r>
    </w:p>
    <w:bookmarkEnd w:id="45"/>
    <w:p>
      <w:pPr>
        <w:pStyle w:val="BodyText"/>
      </w:pPr>
      <w:r>
        <w:t xml:space="preserve">Параметры блока Modelica представлены на рис. 7,8. Переменные на входе (</w:t>
      </w:r>
      <w:r>
        <w:t xml:space="preserve">“beta”</w:t>
      </w:r>
      <w:r>
        <w:t xml:space="preserve">,</w:t>
      </w:r>
      <w:r>
        <w:t xml:space="preserve"> </w:t>
      </w:r>
      <w:r>
        <w:t xml:space="preserve">“nu”</w:t>
      </w:r>
      <w:r>
        <w:t xml:space="preserve">) и выходе (</w:t>
      </w:r>
      <w:r>
        <w:t xml:space="preserve">“s”</w:t>
      </w:r>
      <w:r>
        <w:t xml:space="preserve">,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“r”</w:t>
      </w:r>
      <w:r>
        <w:t xml:space="preserve">) блока заданы как внешние (</w:t>
      </w:r>
      <w:r>
        <w:t xml:space="preserve">“E”</w:t>
      </w:r>
      <w:r>
        <w:t xml:space="preserve">).</w:t>
      </w:r>
    </w:p>
    <w:bookmarkStart w:id="49" w:name="fig:007"/>
    <w:p>
      <w:pPr>
        <w:pStyle w:val="CaptionedFigure"/>
      </w:pPr>
      <w:r>
        <w:drawing>
          <wp:inline>
            <wp:extent cx="3030948" cy="3056525"/>
            <wp:effectExtent b="0" l="0" r="0" t="0"/>
            <wp:docPr descr="Рис. 7: Параметры блока Modelica для модели SIR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948" cy="305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блока Modelica для модели SIR</w:t>
      </w:r>
    </w:p>
    <w:bookmarkEnd w:id="49"/>
    <w:bookmarkStart w:id="53" w:name="fig:008"/>
    <w:p>
      <w:pPr>
        <w:pStyle w:val="CaptionedFigure"/>
      </w:pPr>
      <w:r>
        <w:drawing>
          <wp:inline>
            <wp:extent cx="3350668" cy="2928637"/>
            <wp:effectExtent b="0" l="0" r="0" t="0"/>
            <wp:docPr descr="Рис. 8: Параметры блока Modelica для модели SIR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668" cy="2928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Параметры блока Modelica для модели SIR</w:t>
      </w:r>
    </w:p>
    <w:bookmarkEnd w:id="53"/>
    <w:p>
      <w:pPr>
        <w:pStyle w:val="BodyText"/>
      </w:pPr>
      <w:r>
        <w:t xml:space="preserve">В результате получаем график (рис. 9), построенный с помощью блока Modelica идентичный графику (рис. 5), построенному без них.</w:t>
      </w:r>
    </w:p>
    <w:bookmarkStart w:id="57" w:name="fig:009"/>
    <w:p>
      <w:pPr>
        <w:pStyle w:val="CaptionedFigure"/>
      </w:pPr>
      <w:r>
        <w:drawing>
          <wp:inline>
            <wp:extent cx="3733800" cy="2475931"/>
            <wp:effectExtent b="0" l="0" r="0" t="0"/>
            <wp:docPr descr="Рис. 9: Эпидемический порог модели SIR при \beta = 1, \nu = 0.3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57"/>
    <w:p>
      <w:pPr>
        <w:pStyle w:val="BodyText"/>
      </w:pPr>
      <w:r>
        <w:t xml:space="preserve">В качестве упражнения необходимо построить модель SIR на OpenModelica. Синтаксис почти такой же как и на Modelica. Нужно задать параметры, начальные значения и систему дифференциальных уравнений. Код представлен ниже (рис. 10)</w:t>
      </w:r>
    </w:p>
    <w:bookmarkStart w:id="61" w:name="fig:010"/>
    <w:p>
      <w:pPr>
        <w:pStyle w:val="CaptionedFigure"/>
      </w:pPr>
      <w:r>
        <w:drawing>
          <wp:inline>
            <wp:extent cx="3733800" cy="1480140"/>
            <wp:effectExtent b="0" l="0" r="0" t="0"/>
            <wp:docPr descr="Рис. 10: Код программ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0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Код программы</w:t>
      </w:r>
    </w:p>
    <w:bookmarkEnd w:id="61"/>
    <w:p>
      <w:pPr>
        <w:pStyle w:val="BodyText"/>
      </w:pPr>
      <w:r>
        <w:t xml:space="preserve">Теперь выполним симуляции, задав конечное время 30 с. В результате получаем следующий график (рис. 11).</w:t>
      </w:r>
    </w:p>
    <w:bookmarkStart w:id="65" w:name="fig:011"/>
    <w:p>
      <w:pPr>
        <w:pStyle w:val="CaptionedFigure"/>
      </w:pPr>
      <w:r>
        <w:drawing>
          <wp:inline>
            <wp:extent cx="3733800" cy="2138923"/>
            <wp:effectExtent b="0" l="0" r="0" t="0"/>
            <wp:docPr descr="Рис. 11: Эпидемический порог модели SIR при \beta = 1, \nu = 0.3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Эпидемический порог модели SIR при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=</m:t>
        </m:r>
        <m:r>
          <m:t>0.3</m:t>
        </m:r>
      </m:oMath>
    </w:p>
    <w:bookmarkEnd w:id="65"/>
    <w:bookmarkStart w:id="106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Предположим, что в модели SIR учитываются демографические процессы, в частности, что смертность в популяции полностью уравновешивает рождаемость, а все рожденные индивидуумы появляются на свет абсолютно здоровыми. Тогда получим следующую систему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μ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s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;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ν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t>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константа, которая равна коэффициенту смертности и рождаемости.</w:t>
      </w:r>
    </w:p>
    <w:p>
      <w:pPr>
        <w:pStyle w:val="BodyText"/>
      </w:pPr>
      <w:r>
        <w:t xml:space="preserve">Реализуем эту модель в</w:t>
      </w:r>
      <w:r>
        <w:t xml:space="preserve"> </w:t>
      </w:r>
      <w:r>
        <w:rPr>
          <w:i/>
          <w:iCs/>
        </w:rPr>
        <w:t xml:space="preserve">xcos</w:t>
      </w:r>
      <w:r>
        <w:t xml:space="preserve">. Тут нам понадобятся три блока суммирования и 4 блока констант (добавляется константа</w:t>
      </w:r>
      <w:r>
        <w:t xml:space="preserve"> </w:t>
      </w:r>
      <m:oMath>
        <m:r>
          <m:t>ν</m:t>
        </m:r>
      </m:oMath>
      <w:r>
        <w:t xml:space="preserve">) (рис. 12).</w:t>
      </w:r>
    </w:p>
    <w:bookmarkStart w:id="69" w:name="fig:012"/>
    <w:p>
      <w:pPr>
        <w:pStyle w:val="CaptionedFigure"/>
      </w:pPr>
      <w:r>
        <w:drawing>
          <wp:inline>
            <wp:extent cx="3733800" cy="3067478"/>
            <wp:effectExtent b="0" l="0" r="0" t="0"/>
            <wp:docPr descr="Рис. 12: Модель SIR с учетом демографических процессов в xcos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Модель SIR с учетом демографических процессов в xcos</w:t>
      </w:r>
    </w:p>
    <w:bookmarkEnd w:id="69"/>
    <w:p>
      <w:pPr>
        <w:pStyle w:val="BodyText"/>
      </w:pPr>
      <w:r>
        <w:t xml:space="preserve">Получим следующий график (рис. 13).</w:t>
      </w:r>
    </w:p>
    <w:bookmarkStart w:id="73" w:name="fig:013"/>
    <w:p>
      <w:pPr>
        <w:pStyle w:val="CaptionedFigure"/>
      </w:pPr>
      <w:r>
        <w:drawing>
          <wp:inline>
            <wp:extent cx="3733800" cy="2551295"/>
            <wp:effectExtent b="0" l="0" r="0" t="0"/>
            <wp:docPr descr="Рис. 13: График модели SIR с учетом демографических процессов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График модели SIR с учетом демографических процессов</w:t>
      </w:r>
    </w:p>
    <w:bookmarkEnd w:id="73"/>
    <w:p>
      <w:pPr>
        <w:pStyle w:val="BodyText"/>
      </w:pPr>
      <w:r>
        <w:t xml:space="preserve">Теперь реализуем модель SIR с учетом демографических процессов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с помощью блоков Modelica (рис. 14).</w:t>
      </w:r>
    </w:p>
    <w:bookmarkStart w:id="77" w:name="fig:014"/>
    <w:p>
      <w:pPr>
        <w:pStyle w:val="CaptionedFigure"/>
      </w:pPr>
      <w:r>
        <w:drawing>
          <wp:inline>
            <wp:extent cx="3733800" cy="3498265"/>
            <wp:effectExtent b="0" l="0" r="0" t="0"/>
            <wp:docPr descr="Рис. 14: Модель SIR с учетом демографических процессов в xcos с применением блока Modelica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Модель SIR с учетом демографических процессов в xcos с применением блока Modelica</w:t>
      </w:r>
    </w:p>
    <w:bookmarkEnd w:id="77"/>
    <w:p>
      <w:pPr>
        <w:pStyle w:val="BodyText"/>
      </w:pPr>
      <w:r>
        <w:t xml:space="preserve">Параметры блока Modelica представлены на рис. 15,16. Переменные на входе (</w:t>
      </w:r>
      <w:r>
        <w:t xml:space="preserve">“beta”</w:t>
      </w:r>
      <w:r>
        <w:t xml:space="preserve">,</w:t>
      </w:r>
      <w:r>
        <w:t xml:space="preserve"> </w:t>
      </w:r>
      <w:r>
        <w:t xml:space="preserve">“nu”</w:t>
      </w:r>
      <w:r>
        <w:t xml:space="preserve">,</w:t>
      </w:r>
      <w:r>
        <w:t xml:space="preserve"> </w:t>
      </w:r>
      <w:r>
        <w:t xml:space="preserve">“mu”</w:t>
      </w:r>
      <w:r>
        <w:t xml:space="preserve"> </w:t>
      </w:r>
      <w:r>
        <w:t xml:space="preserve">) и выходе (</w:t>
      </w:r>
      <w:r>
        <w:t xml:space="preserve">“s”</w:t>
      </w:r>
      <w:r>
        <w:t xml:space="preserve">,</w:t>
      </w:r>
      <w:r>
        <w:t xml:space="preserve"> </w:t>
      </w:r>
      <w:r>
        <w:t xml:space="preserve">“i”</w:t>
      </w:r>
      <w:r>
        <w:t xml:space="preserve">,</w:t>
      </w:r>
      <w:r>
        <w:t xml:space="preserve"> </w:t>
      </w:r>
      <w:r>
        <w:t xml:space="preserve">“r”</w:t>
      </w:r>
      <w:r>
        <w:t xml:space="preserve">) блока заданы как внешние (</w:t>
      </w:r>
      <w:r>
        <w:t xml:space="preserve">“E”</w:t>
      </w:r>
      <w:r>
        <w:t xml:space="preserve">).</w:t>
      </w:r>
    </w:p>
    <w:bookmarkStart w:id="81" w:name="fig:015"/>
    <w:p>
      <w:pPr>
        <w:pStyle w:val="CaptionedFigure"/>
      </w:pPr>
      <w:r>
        <w:drawing>
          <wp:inline>
            <wp:extent cx="2881512" cy="2850776"/>
            <wp:effectExtent b="0" l="0" r="0" t="0"/>
            <wp:docPr descr="Рис. 15: Параметры блока Modelica для модели SIR с учетом демографических процессов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28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Параметры блока Modelica для модели SIR с учетом демографических процессов</w:t>
      </w:r>
    </w:p>
    <w:bookmarkEnd w:id="81"/>
    <w:bookmarkStart w:id="85" w:name="fig:016"/>
    <w:p>
      <w:pPr>
        <w:pStyle w:val="CaptionedFigure"/>
      </w:pPr>
      <w:r>
        <w:drawing>
          <wp:inline>
            <wp:extent cx="3733800" cy="3988860"/>
            <wp:effectExtent b="0" l="0" r="0" t="0"/>
            <wp:docPr descr="Рис. 16: Параметры блока Modelica для модели SIR с учетом демографических процессов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8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Параметры блока Modelica для модели SIR с учетом демографических процессов</w:t>
      </w:r>
    </w:p>
    <w:bookmarkEnd w:id="85"/>
    <w:p>
      <w:pPr>
        <w:pStyle w:val="BodyText"/>
      </w:pPr>
      <w:r>
        <w:t xml:space="preserve">В результате получаем следующий график (рис. 17).</w:t>
      </w:r>
    </w:p>
    <w:bookmarkStart w:id="89" w:name="fig:017"/>
    <w:p>
      <w:pPr>
        <w:pStyle w:val="CaptionedFigure"/>
      </w:pPr>
      <w:r>
        <w:drawing>
          <wp:inline>
            <wp:extent cx="3733800" cy="2551295"/>
            <wp:effectExtent b="0" l="0" r="0" t="0"/>
            <wp:docPr descr="Рис. 17: График модели SIR с учетом демографических процессов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График модели SIR с учетом демографических процессов</w:t>
      </w:r>
    </w:p>
    <w:bookmarkEnd w:id="89"/>
    <w:p>
      <w:pPr>
        <w:pStyle w:val="BodyText"/>
      </w:pPr>
      <w:r>
        <w:t xml:space="preserve">Реализуем модель SIR с учетом демографических процессов на OpenModelica. (рис. 18).</w:t>
      </w:r>
    </w:p>
    <w:bookmarkStart w:id="93" w:name="fig:018"/>
    <w:p>
      <w:pPr>
        <w:pStyle w:val="CaptionedFigure"/>
      </w:pPr>
      <w:r>
        <w:drawing>
          <wp:inline>
            <wp:extent cx="3733800" cy="1840605"/>
            <wp:effectExtent b="0" l="0" r="0" t="0"/>
            <wp:docPr descr="Рис. 18: Код программы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Код программы</w:t>
      </w:r>
    </w:p>
    <w:bookmarkEnd w:id="93"/>
    <w:p>
      <w:pPr>
        <w:pStyle w:val="BodyText"/>
      </w:pPr>
      <w:r>
        <w:t xml:space="preserve">Выполнив симуляцию, получим следующий график (рис. 19).</w:t>
      </w:r>
    </w:p>
    <w:bookmarkStart w:id="97" w:name="fig:019"/>
    <w:p>
      <w:pPr>
        <w:pStyle w:val="CaptionedFigure"/>
      </w:pPr>
      <w:r>
        <w:drawing>
          <wp:inline>
            <wp:extent cx="3733800" cy="2112818"/>
            <wp:effectExtent b="0" l="0" r="0" t="0"/>
            <wp:docPr descr="Рис. 19: График модели SIR с учетом демографических процессов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График модели SIR с учетом демографических процессов</w:t>
      </w:r>
    </w:p>
    <w:bookmarkEnd w:id="97"/>
    <w:p>
      <w:pPr>
        <w:pStyle w:val="BodyText"/>
      </w:pPr>
      <w:r>
        <w:t xml:space="preserve">Теперь построим графики при разных значениях параметров. (рис. 20-21).</w:t>
      </w:r>
    </w:p>
    <w:bookmarkStart w:id="101" w:name="fig:020"/>
    <w:p>
      <w:pPr>
        <w:pStyle w:val="CaptionedFigure"/>
      </w:pPr>
      <w:r>
        <w:drawing>
          <wp:inline>
            <wp:extent cx="3733800" cy="1973875"/>
            <wp:effectExtent b="0" l="0" r="0" t="0"/>
            <wp:docPr descr="Рис. 20: \nu = 0.1, \mu = 0.1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0.1</m:t>
        </m:r>
      </m:oMath>
    </w:p>
    <w:bookmarkEnd w:id="101"/>
    <w:bookmarkStart w:id="105" w:name="fig:021"/>
    <w:p>
      <w:pPr>
        <w:pStyle w:val="CaptionedFigure"/>
      </w:pPr>
      <w:r>
        <w:drawing>
          <wp:inline>
            <wp:extent cx="3733800" cy="1993675"/>
            <wp:effectExtent b="0" l="0" r="0" t="0"/>
            <wp:docPr descr="Рис. 21: \nu = 0.3, \mu = 0.2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0.2</m:t>
        </m:r>
      </m:oMath>
    </w:p>
    <w:bookmarkEnd w:id="105"/>
    <w:bookmarkEnd w:id="106"/>
    <w:bookmarkEnd w:id="107"/>
    <w:bookmarkStart w:id="10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была построена модель SIR в</w:t>
      </w:r>
      <w:r>
        <w:t xml:space="preserve"> </w:t>
      </w:r>
      <w:r>
        <w:rPr>
          <w:i/>
          <w:iCs/>
        </w:rPr>
        <w:t xml:space="preserve">xcos</w:t>
      </w:r>
      <w:r>
        <w:t xml:space="preserve"> </w:t>
      </w:r>
      <w:r>
        <w:t xml:space="preserve">и OpenModelica.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Ланцова Яна Игоревна</dc:creator>
  <dc:language>ru-RU</dc:language>
  <cp:keywords/>
  <dcterms:created xsi:type="dcterms:W3CDTF">2025-03-08T10:45:42Z</dcterms:created>
  <dcterms:modified xsi:type="dcterms:W3CDTF">2025-03-08T10:45:42Z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Модель эпидемии (SIR)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