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NAT.</w:t>
      </w:r>
      <w:r>
        <w:t xml:space="preserve"> </w:t>
      </w:r>
      <w:r>
        <w:t xml:space="preserve">Планирование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схему подсоединения локальной сети к Интернету.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модельные сети провайдера и сети Интернет.</w:t>
      </w:r>
    </w:p>
    <w:p>
      <w:pPr>
        <w:numPr>
          <w:ilvl w:val="0"/>
          <w:numId w:val="1001"/>
        </w:numPr>
        <w:pStyle w:val="Compact"/>
      </w:pPr>
      <w:r>
        <w:t xml:space="preserve">Построить схемы сетей L1, L2, L3.</w:t>
      </w:r>
    </w:p>
    <w:p>
      <w:pPr>
        <w:pStyle w:val="FirstParagraph"/>
      </w:pPr>
      <w:r>
        <w:t xml:space="preserve">Модельные предположения:</w:t>
      </w:r>
    </w:p>
    <w:p>
      <w:pPr>
        <w:numPr>
          <w:ilvl w:val="0"/>
          <w:numId w:val="1002"/>
        </w:numPr>
        <w:pStyle w:val="Compact"/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numPr>
          <w:ilvl w:val="0"/>
          <w:numId w:val="1002"/>
        </w:numPr>
        <w:pStyle w:val="Compact"/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numPr>
          <w:ilvl w:val="0"/>
          <w:numId w:val="1002"/>
        </w:numPr>
        <w:pStyle w:val="Compact"/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</w:t>
      </w:r>
    </w:p>
    <w:p>
      <w:pPr>
        <w:numPr>
          <w:ilvl w:val="0"/>
          <w:numId w:val="1002"/>
        </w:numPr>
        <w:pStyle w:val="Compact"/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21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1"/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подключения(рис. 1).</w:t>
      </w:r>
    </w:p>
    <w:p>
      <w:pPr>
        <w:pStyle w:val="CaptionedFigure"/>
      </w:pPr>
      <w:bookmarkStart w:id="26" w:name="fig:001"/>
      <w:r>
        <w:drawing>
          <wp:inline>
            <wp:extent cx="5334000" cy="4488856"/>
            <wp:effectExtent b="0" l="0" r="0" t="0"/>
            <wp:docPr descr="Рис. 1: Схема L1 сети с выходом в Интерне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Схема L1 сети с выходом в Интернет</w:t>
      </w:r>
    </w:p>
    <w:p>
      <w:pPr>
        <w:pStyle w:val="BodyText"/>
      </w:pPr>
      <w:r>
        <w:t xml:space="preserve">Внесем изменения в схемы L2(рис. 2) и L3 (рис. 3) сети, указав адреса и VLAN сети провайдера и модельной сети Интернета.</w:t>
      </w:r>
    </w:p>
    <w:p>
      <w:pPr>
        <w:pStyle w:val="CaptionedFigure"/>
      </w:pPr>
      <w:bookmarkStart w:id="30" w:name="fig:002"/>
      <w:r>
        <w:drawing>
          <wp:inline>
            <wp:extent cx="5334000" cy="4488517"/>
            <wp:effectExtent b="0" l="0" r="0" t="0"/>
            <wp:docPr descr="Рис. 2: Схема L2 сети с выходом в Интерне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Схема L2 сети с выходом в Интернет</w:t>
      </w:r>
    </w:p>
    <w:p>
      <w:pPr>
        <w:pStyle w:val="CaptionedFigure"/>
      </w:pPr>
      <w:bookmarkStart w:id="34" w:name="fig:003"/>
      <w:r>
        <w:drawing>
          <wp:inline>
            <wp:extent cx="5334000" cy="736570"/>
            <wp:effectExtent b="0" l="0" r="0" t="0"/>
            <wp:docPr descr="Рис. 3: Схема L3 сети с выходом в Интерне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Схема L3 сети с выходом в Интернет</w:t>
      </w:r>
    </w:p>
    <w:p>
      <w:pPr>
        <w:pStyle w:val="BodyText"/>
      </w:pPr>
      <w:r>
        <w:t xml:space="preserve">Скорректируем таблицы распределения IP-адресов (табл. 3) и портов (табл. 2).</w:t>
      </w:r>
    </w:p>
    <w:bookmarkStart w:id="35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6"/>
    <w:p>
      <w:pPr>
        <w:pStyle w:val="BodyText"/>
      </w:pPr>
      <w:r>
        <w:t xml:space="preserve">На схеме предыдущего проекта разместим необходимое оборудование для сети провайдера и сети модельного Интернета: 4 медиаконвертера (Repeater-PT), 2 коммутатора типа Cisco 2960-24TT, маршрутизатор типа Cisco 2811, 4 сервера. Присвоим названия размещённым в сети провайдера и в сети модельного Интернета объектам согласно модельным предположениям и схеме L1. Затем заменим модули на медиаконвертерах для подключения Fast Ethernet(модуль PT-REPEATER-NM-1FFE) и оптоволокна( модульPT-REPEATER-NM-1CFE)(рис. 4).</w:t>
      </w:r>
    </w:p>
    <w:p>
      <w:pPr>
        <w:pStyle w:val="CaptionedFigure"/>
      </w:pPr>
      <w:bookmarkStart w:id="40" w:name="fig:004"/>
      <w:r>
        <w:drawing>
          <wp:inline>
            <wp:extent cx="5334000" cy="5438227"/>
            <wp:effectExtent b="0" l="0" r="0" t="0"/>
            <wp:docPr descr="Рис. 4: Медиаконвертер с модулями PT-REPEATER-NM-1FFE и PT-REPEATER-NM-1CFE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Медиаконвертер с модулями PT-REPEATER-NM-1FFE и PT-REPEATER-NM-1CFE</w:t>
      </w:r>
    </w:p>
    <w:p>
      <w:pPr>
        <w:pStyle w:val="BodyText"/>
      </w:pPr>
      <w:r>
        <w:t xml:space="preserve">Соединим устройства согласно схеме L1(рис. 5).</w:t>
      </w:r>
    </w:p>
    <w:p>
      <w:pPr>
        <w:pStyle w:val="CaptionedFigure"/>
      </w:pPr>
      <w:bookmarkStart w:id="44" w:name="fig:005"/>
      <w:r>
        <w:drawing>
          <wp:inline>
            <wp:extent cx="5334000" cy="3459386"/>
            <wp:effectExtent b="0" l="0" r="0" t="0"/>
            <wp:docPr descr="Рис. 5: Схема сети с выходом в Интернет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Схема сети с выходом в Интернет</w:t>
      </w:r>
    </w:p>
    <w:p>
      <w:pPr>
        <w:pStyle w:val="BodyText"/>
      </w:pPr>
      <w:r>
        <w:t xml:space="preserve">В физической рабочей области добавим здание провайдера и здание, имитирующее расположение серверов модельного Интернета. Присвоим им соответствующие названия(рис. 6).</w:t>
      </w:r>
    </w:p>
    <w:p>
      <w:pPr>
        <w:pStyle w:val="CaptionedFigure"/>
      </w:pPr>
      <w:bookmarkStart w:id="48" w:name="fig:006"/>
      <w:r>
        <w:drawing>
          <wp:inline>
            <wp:extent cx="5334000" cy="2302010"/>
            <wp:effectExtent b="0" l="0" r="0" t="0"/>
            <wp:docPr descr="Рис. 6: Схема сети в физической рабочей области Packet Tracer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Схема сети в физической рабочей области Packet Tracer</w:t>
      </w:r>
    </w:p>
    <w:p>
      <w:pPr>
        <w:pStyle w:val="BodyText"/>
      </w:pPr>
      <w:r>
        <w:t xml:space="preserve">Перенесем из сети «Донская» оборудование провайдера(рис. 7) и модельной сети Интернета(рис. 8) в соответствующие здания.</w:t>
      </w:r>
    </w:p>
    <w:p>
      <w:pPr>
        <w:pStyle w:val="CaptionedFigure"/>
      </w:pPr>
      <w:bookmarkStart w:id="52" w:name="fig:007"/>
      <w:r>
        <w:drawing>
          <wp:inline>
            <wp:extent cx="5334000" cy="4650796"/>
            <wp:effectExtent b="0" l="0" r="0" t="0"/>
            <wp:docPr descr="Рис. 7: Оборудование в здании сети провайдер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Оборудование в здании сети провайдера</w:t>
      </w:r>
    </w:p>
    <w:p>
      <w:pPr>
        <w:pStyle w:val="CaptionedFigure"/>
      </w:pPr>
      <w:bookmarkStart w:id="56" w:name="fig:008"/>
      <w:r>
        <w:drawing>
          <wp:inline>
            <wp:extent cx="5334000" cy="4036540"/>
            <wp:effectExtent b="0" l="0" r="0" t="0"/>
            <wp:docPr descr="Рис. 8: Оборудование в здании сети модельного Интернет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Оборудование в здании сети модельного Интернета</w:t>
      </w:r>
    </w:p>
    <w:p>
      <w:pPr>
        <w:pStyle w:val="BodyText"/>
      </w:pPr>
      <w:r>
        <w:t xml:space="preserve">Пропишем IP-адреса серверам согласно табл. 1. Пропишем сведения о серверах на DNS-сервере сети «Донская(рис. 9).</w:t>
      </w:r>
    </w:p>
    <w:p>
      <w:pPr>
        <w:pStyle w:val="CaptionedFigure"/>
      </w:pPr>
      <w:bookmarkStart w:id="60" w:name="fig:009"/>
      <w:r>
        <w:drawing>
          <wp:inline>
            <wp:extent cx="5334000" cy="3743587"/>
            <wp:effectExtent b="0" l="0" r="0" t="0"/>
            <wp:docPr descr="Рис. 9: Добавление DNS-записей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Добавление DNS-записей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провели подготовительные мероприятия по подключению локальной сети организации к Интернету.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numPr>
          <w:ilvl w:val="0"/>
          <w:numId w:val="1004"/>
        </w:numPr>
        <w:pStyle w:val="Compact"/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Одним из способов является анализ конфигурации маршрутизатора или другого сетевого оборудования, которое может выполнять функции NAT.</w:t>
      </w:r>
    </w:p>
    <w:p>
      <w:pPr>
        <w:numPr>
          <w:ilvl w:val="0"/>
          <w:numId w:val="1005"/>
        </w:numPr>
        <w:pStyle w:val="Compact"/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Оборудование, отвечающее за преобразование адреса методом NAT, включает в себя маршрутизаторы, коммутаторы и другие устройства сетевой инфраструктуры. Компании, такие как Cisco Systems и Huawei, предлагают оборудование, способное выполнять функции NAT. Например, устройства Cisco Systems, такие как маршрутизаторы с операционной системой IOS, могут выполнять NAT и обеспечивать преобразование адресов в сети.</w:t>
      </w:r>
    </w:p>
    <w:p>
      <w:pPr>
        <w:numPr>
          <w:ilvl w:val="0"/>
          <w:numId w:val="1006"/>
        </w:numPr>
        <w:pStyle w:val="Compact"/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numPr>
          <w:ilvl w:val="0"/>
          <w:numId w:val="1007"/>
        </w:numPr>
        <w:pStyle w:val="Compact"/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Ланцова Яна Игоревна</dc:creator>
  <dc:language>ru-RU</dc:language>
  <cp:keywords/>
  <dcterms:created xsi:type="dcterms:W3CDTF">2025-04-26T10:39:08Z</dcterms:created>
  <dcterms:modified xsi:type="dcterms:W3CDTF">2025-04-26T10:39:08Z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NAT. Планирование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