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60"/>
        <w:jc w:val="center"/>
      </w:pPr>
      <w:r>
        <w:rPr>
          <w:rFonts w:ascii="Georgia" w:cs="Georgia" w:eastAsia="Georgia" w:hAnsi="Georgia"/>
          <w:b/>
          <w:bCs/>
          <w:color w:val="D97B29"/>
          <w:spacing w:val="20"/>
          <w:sz w:val="30"/>
          <w:szCs w:val="30"/>
        </w:rPr>
        <w:t xml:space="preserve">Y&amp;C SYSTEMS</w:t>
      </w:r>
    </w:p>
    <w:p>
      <w:pPr>
        <w:spacing w:after="500"/>
        <w:jc w:val="center"/>
      </w:pPr>
      <w:r>
        <w:rPr>
          <w:rFonts w:ascii="Calibri" w:cs="Calibri" w:eastAsia="Calibri" w:hAnsi="Calibri"/>
          <w:i/>
          <w:iCs/>
          <w:color w:val="4A4038"/>
          <w:sz w:val="20"/>
          <w:szCs w:val="20"/>
        </w:rPr>
        <w:t xml:space="preserve">César Campos  ·  Yilbert Fernández</w:t>
      </w:r>
    </w:p>
    <w:p>
      <w:pPr>
        <w:spacing w:after="160"/>
        <w:jc w:val="center"/>
      </w:pPr>
      <w:r>
        <w:rPr>
          <w:rFonts w:ascii="Georgia" w:cs="Georgia" w:eastAsia="Georgia" w:hAnsi="Georgia"/>
          <w:b/>
          <w:bCs/>
          <w:color w:val="4A2E1E"/>
          <w:sz w:val="64"/>
          <w:szCs w:val="64"/>
        </w:rPr>
        <w:t xml:space="preserve">SIGEPAN</w:t>
      </w:r>
    </w:p>
    <w:p>
      <w:pPr>
        <w:spacing w:after="40"/>
        <w:jc w:val="center"/>
      </w:pPr>
      <w:r>
        <w:rPr>
          <w:rFonts w:ascii="Georgia" w:cs="Georgia" w:eastAsia="Georgia" w:hAnsi="Georgia"/>
          <w:i/>
          <w:iCs/>
          <w:color w:val="7B4B27"/>
          <w:sz w:val="24"/>
          <w:szCs w:val="24"/>
        </w:rPr>
        <w:t xml:space="preserve">Sistema Integral de Gestión para Panaderías</w:t>
      </w:r>
    </w:p>
    <w:p>
      <w:pPr>
        <w:pBdr>
          <w:top w:val="single" w:color="D97B29" w:sz="16" w:space="14"/>
          <w:bottom w:val="single" w:color="D97B29" w:sz="16" w:space="14"/>
        </w:pBdr>
        <w:spacing w:after="900" w:before="260"/>
        <w:jc w:val="center"/>
      </w:pPr>
      <w:r>
        <w:rPr>
          <w:rFonts w:ascii="Georgia" w:cs="Georgia" w:eastAsia="Georgia" w:hAnsi="Georgia"/>
          <w:b/>
          <w:bCs/>
          <w:color w:val="D97B29"/>
          <w:sz w:val="30"/>
          <w:szCs w:val="30"/>
        </w:rPr>
        <w:t xml:space="preserve">BITÁCORA DE CAMBIOS DEL PROYECTO</w:t>
      </w:r>
    </w:p>
    <w:p>
      <w:pPr>
        <w:spacing w:after="30"/>
        <w:jc w:val="center"/>
      </w:pPr>
      <w:r>
        <w:rPr>
          <w:rFonts w:ascii="Calibri" w:cs="Calibri" w:eastAsia="Calibri" w:hAnsi="Calibri"/>
          <w:i/>
          <w:iCs/>
          <w:color w:val="4A4038"/>
          <w:sz w:val="20"/>
          <w:szCs w:val="20"/>
        </w:rPr>
        <w:t xml:space="preserve">Comparación de la documentación de entregables contra el código y la base de datos reales</w:t>
      </w:r>
    </w:p>
    <w:p>
      <w:pPr>
        <w:spacing w:after="40" w:before="900"/>
        <w:jc w:val="center"/>
      </w:pPr>
      <w:r>
        <w:rPr>
          <w:rFonts w:ascii="Calibri" w:cs="Calibri" w:eastAsia="Calibri" w:hAnsi="Calibri"/>
          <w:color w:val="2B2118"/>
          <w:sz w:val="20"/>
          <w:szCs w:val="20"/>
        </w:rPr>
        <w:t xml:space="preserve">Proyecto Profesional Informático</w:t>
      </w:r>
    </w:p>
    <w:p>
      <w:pPr>
        <w:spacing w:after="40"/>
        <w:jc w:val="center"/>
      </w:pPr>
      <w:r>
        <w:rPr>
          <w:rFonts w:ascii="Calibri" w:cs="Calibri" w:eastAsia="Calibri" w:hAnsi="Calibri"/>
          <w:color w:val="2B2118"/>
          <w:sz w:val="20"/>
          <w:szCs w:val="20"/>
        </w:rPr>
        <w:t xml:space="preserve">Universidad Tecnológica Costarricense (UTC)</w:t>
      </w:r>
    </w:p>
    <w:p>
      <w:pPr>
        <w:spacing w:after="40"/>
        <w:jc w:val="center"/>
      </w:pPr>
      <w:r>
        <w:rPr>
          <w:rFonts w:ascii="Calibri" w:cs="Calibri" w:eastAsia="Calibri" w:hAnsi="Calibri"/>
          <w:b/>
          <w:bCs/>
          <w:color w:val="2B2118"/>
          <w:sz w:val="20"/>
          <w:szCs w:val="20"/>
        </w:rPr>
        <w:t xml:space="preserve">11 de agosto de 2026</w:t>
      </w:r>
    </w:p>
    <w:p>
      <w:r>
        <w:br w:type="page"/>
      </w:r>
    </w:p>
    <w:p>
      <w:pPr>
        <w:sectPr>
          <w:pgSz w:w="12240" w:h="15840" w:orient="portrait"/>
          <w:pgMar w:top="1080" w:right="1200" w:bottom="1080" w:left="1200" w:header="708" w:footer="708" w:gutter="0"/>
          <w:pgNumType/>
          <w:docGrid w:linePitch="360"/>
        </w:sectPr>
      </w:pPr>
    </w:p>
    <w:p>
      <w:pPr>
        <w:pStyle w:val="Heading1"/>
        <w:pBdr>
          <w:bottom w:val="single" w:color="D97B29" w:sz="12" w:space="6"/>
        </w:pBdr>
        <w:spacing w:after="220" w:before="420"/>
      </w:pPr>
      <w:r>
        <w:rPr>
          <w:rFonts w:ascii="Georgia" w:cs="Georgia" w:eastAsia="Georgia" w:hAnsi="Georgia"/>
          <w:b/>
          <w:bCs/>
          <w:color w:val="4A2E1E"/>
          <w:sz w:val="30"/>
          <w:szCs w:val="30"/>
        </w:rPr>
        <w:t xml:space="preserve">1. Introducción y metodología</w:t>
      </w:r>
    </w:p>
    <w:p>
      <w:pPr>
        <w:spacing w:after="120" w:before="0" w:line="276"/>
        <w:jc w:val="left"/>
      </w:pPr>
      <w:r>
        <w:rPr>
          <w:rFonts w:ascii="Calibri" w:cs="Calibri" w:eastAsia="Calibri" w:hAnsi="Calibri"/>
          <w:b w:val="false"/>
          <w:bCs w:val="false"/>
          <w:i w:val="false"/>
          <w:iCs w:val="false"/>
          <w:color w:val="2B2118"/>
          <w:sz w:val="21"/>
          <w:szCs w:val="21"/>
        </w:rPr>
        <w:t xml:space="preserve">Esta bitácora documenta los cambios reales que sufrió el proyecto SIGEPAN entre el inicio del desarrollo (mayo de 2026) y el cierre del Entregable #5 (agosto de 2026), a partir de tres fuentes verificables — no de memoria ni de buenas intenciones documentadas al inicio del curso:</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El historial real de git del repositorio SIGEPAN: 114 commits, autoría mixta (César Campos / Yilbert Fernández), desde el commit inicial de documentación (17-05-2026) hasta el cierre de manuales (11-08-2026).</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La evolución línea por línea del DDL de la base de datos (database/ddl/01_create_database.sql y 02_create_tables.sql), reconstruida con git log -p sobre esos dos archivos — la única fuente de verdad de esquema en un proyecto Database First donde los modelos de negocio de Django usan managed=False y no pasan por manage.py migrate.</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La comparación directa entre CHECKLIST_RF_COMPLETO.md / CHECKLIST_YILBERT.md (los 34 requerimientos funcionales documentados y su estado auditado contra código real, con hasta cinco rondas de verificación independientes durante agosto) y el código actual en backend/apps/, leído directamente para esta bitácora.</w:t>
      </w:r>
    </w:p>
    <w:p>
      <w:pPr>
        <w:spacing w:after="120" w:before="0" w:line="276"/>
        <w:jc w:val="left"/>
      </w:pPr>
      <w:r>
        <w:rPr>
          <w:rFonts w:ascii="Calibri" w:cs="Calibri" w:eastAsia="Calibri" w:hAnsi="Calibri"/>
          <w:b w:val="false"/>
          <w:bCs w:val="false"/>
          <w:i w:val="false"/>
          <w:iCs w:val="false"/>
          <w:color w:val="2B2118"/>
          <w:sz w:val="21"/>
          <w:szCs w:val="21"/>
        </w:rPr>
        <w:t xml:space="preserve">Metodológicamente, este documento no repite lo que el Entregable #4 dijo que se iba a construir: registra lo que realmente cambió sobre esa base durante la implementación — tablas y columnas que se agregaron sobre la marcha, capas de arquitectura (Repository/Service) que se extrajeron después de que la lógica creciera dentro de views.py, bugs bloqueantes que impidieron completar una venta real durante varios días de agosto, y hallazgos de seguridad que se cerraron entre el 04 y el 07 de agosto tras rondas de auditoría dirigidas.</w:t>
      </w:r>
    </w:p>
    <w:p>
      <w:pPr>
        <w:spacing w:after="120" w:before="0" w:line="276"/>
        <w:jc w:val="left"/>
      </w:pPr>
      <w:r>
        <w:rPr>
          <w:rFonts w:ascii="Calibri" w:cs="Calibri" w:eastAsia="Calibri" w:hAnsi="Calibri"/>
          <w:b w:val="false"/>
          <w:bCs w:val="false"/>
          <w:i w:val="false"/>
          <w:iCs w:val="false"/>
          <w:color w:val="2B2118"/>
          <w:sz w:val="21"/>
          <w:szCs w:val="21"/>
        </w:rPr>
        <w:t xml:space="preserve">Convención usada en las tablas siguientes: la columna "Evidencia" referencia el hash corto del commit de git (git log -p -- database/ddl/02_create_tables.sql) cuando el cambio es de esquema, o la sección del checklist / archivo de código verificado directamente cuando el cambio es de lógica de aplicación. Ningún cambio documentado aquí es especulativo: todos tienen respaldo en el diff del DDL, en un mensaje de commit real, o en una lectura directa del archivo de código citado.</w:t>
      </w:r>
    </w:p>
    <w:p>
      <w:pPr>
        <w:pBdr>
          <w:bottom w:val="single" w:color="E8A059" w:sz="6" w:space="1"/>
        </w:pBdr>
        <w:spacing w:after="200" w:before="60"/>
      </w:pPr>
    </w:p>
    <w:p>
      <w:pPr>
        <w:pStyle w:val="Heading2"/>
        <w:spacing w:after="160" w:before="320"/>
      </w:pPr>
      <w:r>
        <w:rPr>
          <w:rFonts w:ascii="Georgia" w:cs="Georgia" w:eastAsia="Georgia" w:hAnsi="Georgia"/>
          <w:b/>
          <w:bCs/>
          <w:color w:val="D97B29"/>
          <w:sz w:val="24"/>
          <w:szCs w:val="24"/>
        </w:rPr>
        <w:t xml:space="preserve">Cifras generales del proyecto al cierre</w:t>
      </w:r>
    </w:p>
    <w:tbl>
      <w:tblPr>
        <w:tblW w:type="dxa" w:w="9600"/>
        <w:tblBorders>
          <w:top w:val="single" w:color="C9B79C" w:sz="4"/>
          <w:left w:val="single" w:color="C9B79C" w:sz="4"/>
          <w:bottom w:val="single" w:color="C9B79C" w:sz="4"/>
          <w:right w:val="single" w:color="C9B79C" w:sz="4"/>
          <w:insideH w:val="single" w:color="DCCBB0" w:sz="2"/>
          <w:insideV w:val="single" w:color="DCCBB0" w:sz="2"/>
        </w:tblBorders>
      </w:tblPr>
      <w:tblGrid>
        <w:gridCol w:w="5600"/>
        <w:gridCol w:w="4000"/>
      </w:tblGrid>
      <w:tr>
        <w:trPr>
          <w:tblHeader/>
        </w:trPr>
        <w:tc>
          <w:tcPr>
            <w:tcW w:type="dxa" w:w="5600"/>
            <w:shd w:fill="7B4B27" w:val="clear"/>
            <w:tcMar>
              <w:top w:type="dxa" w:w="90"/>
              <w:left w:type="dxa" w:w="110"/>
              <w:bottom w:type="dxa" w:w="90"/>
              <w:right w:type="dxa" w:w="110"/>
            </w:tcMar>
            <w:vAlign w:val="center"/>
          </w:tcPr>
          <w:p>
            <w:pPr>
              <w:spacing w:after="40" w:line="250"/>
              <w:jc w:val="center"/>
            </w:pPr>
            <w:r>
              <w:rPr>
                <w:rFonts w:ascii="Calibri" w:cs="Calibri" w:eastAsia="Calibri" w:hAnsi="Calibri"/>
                <w:b/>
                <w:bCs/>
                <w:color w:val="FFFFFF"/>
                <w:sz w:val="18"/>
                <w:szCs w:val="18"/>
              </w:rPr>
              <w:t xml:space="preserve">Métrica</w:t>
            </w:r>
          </w:p>
        </w:tc>
        <w:tc>
          <w:tcPr>
            <w:tcW w:type="dxa" w:w="4000"/>
            <w:shd w:fill="7B4B27" w:val="clear"/>
            <w:tcMar>
              <w:top w:type="dxa" w:w="90"/>
              <w:left w:type="dxa" w:w="110"/>
              <w:bottom w:type="dxa" w:w="90"/>
              <w:right w:type="dxa" w:w="110"/>
            </w:tcMar>
            <w:vAlign w:val="center"/>
          </w:tcPr>
          <w:p>
            <w:pPr>
              <w:spacing w:after="40" w:line="250"/>
              <w:jc w:val="center"/>
            </w:pPr>
            <w:r>
              <w:rPr>
                <w:rFonts w:ascii="Calibri" w:cs="Calibri" w:eastAsia="Calibri" w:hAnsi="Calibri"/>
                <w:b/>
                <w:bCs/>
                <w:color w:val="FFFFFF"/>
                <w:sz w:val="18"/>
                <w:szCs w:val="18"/>
              </w:rPr>
              <w:t xml:space="preserve">Valor</w:t>
            </w:r>
          </w:p>
        </w:tc>
      </w:tr>
      <w:tr>
        <w:tc>
          <w:tcPr>
            <w:tcW w:type="dxa" w:w="5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Commits en el repositorio</w:t>
            </w:r>
          </w:p>
        </w:tc>
        <w:tc>
          <w:tcPr>
            <w:tcW w:type="dxa" w:w="40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114</w:t>
            </w:r>
          </w:p>
        </w:tc>
      </w:tr>
      <w:tr>
        <w:tc>
          <w:tcPr>
            <w:tcW w:type="dxa" w:w="5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Rango de fechas del historial</w:t>
            </w:r>
          </w:p>
        </w:tc>
        <w:tc>
          <w:tcPr>
            <w:tcW w:type="dxa" w:w="40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17-05-2026 → 11-08-2026 (≈ 12 semanas)</w:t>
            </w:r>
          </w:p>
        </w:tc>
      </w:tr>
      <w:tr>
        <w:tc>
          <w:tcPr>
            <w:tcW w:type="dxa" w:w="5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Tablas en el esquema inicial (01-07-2026)</w:t>
            </w:r>
          </w:p>
        </w:tc>
        <w:tc>
          <w:tcPr>
            <w:tcW w:type="dxa" w:w="40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26</w:t>
            </w:r>
          </w:p>
        </w:tc>
      </w:tr>
      <w:tr>
        <w:tc>
          <w:tcPr>
            <w:tcW w:type="dxa" w:w="5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Tablas en el esquema final (11-08-2026)</w:t>
            </w:r>
          </w:p>
        </w:tc>
        <w:tc>
          <w:tcPr>
            <w:tcW w:type="dxa" w:w="40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44</w:t>
            </w:r>
          </w:p>
        </w:tc>
      </w:tr>
      <w:tr>
        <w:tc>
          <w:tcPr>
            <w:tcW w:type="dxa" w:w="5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Commits que modificaron el DDL de tablas</w:t>
            </w:r>
          </w:p>
        </w:tc>
        <w:tc>
          <w:tcPr>
            <w:tcW w:type="dxa" w:w="40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6 (de 114 totales)</w:t>
            </w:r>
          </w:p>
        </w:tc>
      </w:tr>
      <w:tr>
        <w:tc>
          <w:tcPr>
            <w:tcW w:type="dxa" w:w="5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Requerimientos Funcionales documentados</w:t>
            </w:r>
          </w:p>
        </w:tc>
        <w:tc>
          <w:tcPr>
            <w:tcW w:type="dxa" w:w="40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34 (RF-001 a RF-034)</w:t>
            </w:r>
          </w:p>
        </w:tc>
      </w:tr>
      <w:tr>
        <w:tc>
          <w:tcPr>
            <w:tcW w:type="dxa" w:w="5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Avance final promedio de los 34 RF (autoevaluado y verificado en código)</w:t>
            </w:r>
          </w:p>
        </w:tc>
        <w:tc>
          <w:tcPr>
            <w:tcW w:type="dxa" w:w="40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 90 %</w:t>
            </w:r>
          </w:p>
        </w:tc>
      </w:tr>
      <w:tr>
        <w:tc>
          <w:tcPr>
            <w:tcW w:type="dxa" w:w="5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Rondas de auditoría dirigida documentadas (04-08 al 07-08-2026)</w:t>
            </w:r>
          </w:p>
        </w:tc>
        <w:tc>
          <w:tcPr>
            <w:tcW w:type="dxa" w:w="40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5+ (seguridad, arquitectura de BD, UX/UI, verificación de checklist)</w:t>
            </w:r>
          </w:p>
        </w:tc>
      </w:tr>
    </w:tbl>
    <w:p>
      <w:pPr>
        <w:pStyle w:val="Heading1"/>
        <w:pBdr>
          <w:bottom w:val="single" w:color="D97B29" w:sz="12" w:space="6"/>
        </w:pBdr>
        <w:spacing w:after="220" w:before="420"/>
      </w:pPr>
      <w:r>
        <w:rPr>
          <w:rFonts w:ascii="Georgia" w:cs="Georgia" w:eastAsia="Georgia" w:hAnsi="Georgia"/>
          <w:b/>
          <w:bCs/>
          <w:color w:val="4A2E1E"/>
          <w:sz w:val="30"/>
          <w:szCs w:val="30"/>
        </w:rPr>
        <w:t xml:space="preserve">2. Evolución del esquema de base de datos</w:t>
      </w:r>
    </w:p>
    <w:p>
      <w:pPr>
        <w:spacing w:after="120" w:before="0" w:line="276"/>
        <w:jc w:val="left"/>
      </w:pPr>
      <w:r>
        <w:rPr>
          <w:rFonts w:ascii="Calibri" w:cs="Calibri" w:eastAsia="Calibri" w:hAnsi="Calibri"/>
          <w:b w:val="false"/>
          <w:bCs w:val="false"/>
          <w:i w:val="false"/>
          <w:iCs w:val="false"/>
          <w:color w:val="2B2118"/>
          <w:sz w:val="21"/>
          <w:szCs w:val="21"/>
        </w:rPr>
        <w:t xml:space="preserve">SIGEPAN sigue un enfoque Database First: los modelos de Django que representan tablas de negocio declaran managed = False y no generan migraciones — cualquier cambio de esquema se aplicó primero con SQL manual contra la base real y luego se reflejó en el DDL versionado. Por eso la evolución real del esquema no vive en una carpeta migrations/, sino en el historial de git de los dos archivos DDL. De los 114 commits del repositorio, solo 6 tocaron database/ddl/02_create_tables.sql, y ninguno tocó 01_create_database.sql después de su creación (01-07-2026) — la base sigue siendo sigepan_db con collation utf8mb4_spanish_ci desde el primer commit.</w:t>
      </w:r>
    </w:p>
    <w:tbl>
      <w:tblPr>
        <w:tblW w:type="dxa" w:w="9600"/>
        <w:tblBorders>
          <w:top w:val="single" w:color="C9B79C" w:sz="4"/>
          <w:left w:val="single" w:color="C9B79C" w:sz="4"/>
          <w:bottom w:val="single" w:color="C9B79C" w:sz="4"/>
          <w:right w:val="single" w:color="C9B79C" w:sz="4"/>
          <w:insideH w:val="single" w:color="DCCBB0" w:sz="2"/>
          <w:insideV w:val="single" w:color="DCCBB0" w:sz="2"/>
        </w:tblBorders>
      </w:tblPr>
      <w:tblGrid>
        <w:gridCol w:w="1500"/>
        <w:gridCol w:w="2200"/>
        <w:gridCol w:w="3200"/>
        <w:gridCol w:w="2700"/>
      </w:tblGrid>
      <w:tr>
        <w:trPr>
          <w:tblHeader/>
        </w:trPr>
        <w:tc>
          <w:tcPr>
            <w:tcW w:type="dxa" w:w="1500"/>
            <w:shd w:fill="7B4B27" w:val="clear"/>
            <w:tcMar>
              <w:top w:type="dxa" w:w="90"/>
              <w:left w:type="dxa" w:w="110"/>
              <w:bottom w:type="dxa" w:w="90"/>
              <w:right w:type="dxa" w:w="110"/>
            </w:tcMar>
            <w:vAlign w:val="center"/>
          </w:tcPr>
          <w:p>
            <w:pPr>
              <w:spacing w:after="40" w:line="250"/>
              <w:jc w:val="center"/>
            </w:pPr>
            <w:r>
              <w:rPr>
                <w:rFonts w:ascii="Calibri" w:cs="Calibri" w:eastAsia="Calibri" w:hAnsi="Calibri"/>
                <w:b/>
                <w:bCs/>
                <w:color w:val="FFFFFF"/>
                <w:sz w:val="18"/>
                <w:szCs w:val="18"/>
              </w:rPr>
              <w:t xml:space="preserve">Fecha / Commit</w:t>
            </w:r>
          </w:p>
        </w:tc>
        <w:tc>
          <w:tcPr>
            <w:tcW w:type="dxa" w:w="2200"/>
            <w:shd w:fill="7B4B27" w:val="clear"/>
            <w:tcMar>
              <w:top w:type="dxa" w:w="90"/>
              <w:left w:type="dxa" w:w="110"/>
              <w:bottom w:type="dxa" w:w="90"/>
              <w:right w:type="dxa" w:w="110"/>
            </w:tcMar>
            <w:vAlign w:val="center"/>
          </w:tcPr>
          <w:p>
            <w:pPr>
              <w:spacing w:after="40" w:line="250"/>
              <w:jc w:val="center"/>
            </w:pPr>
            <w:r>
              <w:rPr>
                <w:rFonts w:ascii="Calibri" w:cs="Calibri" w:eastAsia="Calibri" w:hAnsi="Calibri"/>
                <w:b/>
                <w:bCs/>
                <w:color w:val="FFFFFF"/>
                <w:sz w:val="18"/>
                <w:szCs w:val="18"/>
              </w:rPr>
              <w:t xml:space="preserve">Tabla(s)</w:t>
            </w:r>
          </w:p>
        </w:tc>
        <w:tc>
          <w:tcPr>
            <w:tcW w:type="dxa" w:w="3200"/>
            <w:shd w:fill="7B4B27" w:val="clear"/>
            <w:tcMar>
              <w:top w:type="dxa" w:w="90"/>
              <w:left w:type="dxa" w:w="110"/>
              <w:bottom w:type="dxa" w:w="90"/>
              <w:right w:type="dxa" w:w="110"/>
            </w:tcMar>
            <w:vAlign w:val="center"/>
          </w:tcPr>
          <w:p>
            <w:pPr>
              <w:spacing w:after="40" w:line="250"/>
              <w:jc w:val="center"/>
            </w:pPr>
            <w:r>
              <w:rPr>
                <w:rFonts w:ascii="Calibri" w:cs="Calibri" w:eastAsia="Calibri" w:hAnsi="Calibri"/>
                <w:b/>
                <w:bCs/>
                <w:color w:val="FFFFFF"/>
                <w:sz w:val="18"/>
                <w:szCs w:val="18"/>
              </w:rPr>
              <w:t xml:space="preserve">Cambio</w:t>
            </w:r>
          </w:p>
        </w:tc>
        <w:tc>
          <w:tcPr>
            <w:tcW w:type="dxa" w:w="2700"/>
            <w:shd w:fill="7B4B27" w:val="clear"/>
            <w:tcMar>
              <w:top w:type="dxa" w:w="90"/>
              <w:left w:type="dxa" w:w="110"/>
              <w:bottom w:type="dxa" w:w="90"/>
              <w:right w:type="dxa" w:w="110"/>
            </w:tcMar>
            <w:vAlign w:val="center"/>
          </w:tcPr>
          <w:p>
            <w:pPr>
              <w:spacing w:after="40" w:line="250"/>
              <w:jc w:val="center"/>
            </w:pPr>
            <w:r>
              <w:rPr>
                <w:rFonts w:ascii="Calibri" w:cs="Calibri" w:eastAsia="Calibri" w:hAnsi="Calibri"/>
                <w:b/>
                <w:bCs/>
                <w:color w:val="FFFFFF"/>
                <w:sz w:val="18"/>
                <w:szCs w:val="18"/>
              </w:rPr>
              <w:t xml:space="preserve">Motivo</w:t>
            </w:r>
          </w:p>
        </w:tc>
      </w:tr>
      <w:tr>
        <w:tc>
          <w:tcPr>
            <w:tcW w:type="dxa" w:w="15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01-07-2026
b5bc586</w:t>
            </w:r>
          </w:p>
        </w:tc>
        <w:tc>
          <w:tcPr>
            <w:tcW w:type="dxa" w:w="22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26 tablas base
(usuario, rol, sucursal,
producto, venta, caja, …)</w:t>
            </w:r>
          </w:p>
        </w:tc>
        <w:tc>
          <w:tcPr>
            <w:tcW w:type="dxa" w:w="32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Creación inicial del esquema completo del proyecto (905 líneas de DDL).</w:t>
            </w:r>
          </w:p>
        </w:tc>
        <w:tc>
          <w:tcPr>
            <w:tcW w:type="dxa" w:w="27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Arranque del desarrollo — primera implementación en MySQL del modelo de datos documentado en el Entregable #4.</w:t>
            </w:r>
          </w:p>
        </w:tc>
      </w:tr>
      <w:tr>
        <w:tc>
          <w:tcPr>
            <w:tcW w:type="dxa" w:w="15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05-07-2026
3df8f3e</w:t>
            </w:r>
          </w:p>
        </w:tc>
        <w:tc>
          <w:tcPr>
            <w:tcW w:type="dxa" w:w="22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inventario</w:t>
            </w:r>
          </w:p>
        </w:tc>
        <w:tc>
          <w:tcPr>
            <w:tcW w:type="dxa" w:w="32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Rediseño de la tabla: se agrega id_sucursal (FK a sucursal), existencia se renombra a stock_actual, el UNIQUE pasa de (id_producto) a (id_producto, id_sucursal), y stock_maximo pasa a NOT NULL.</w:t>
            </w:r>
          </w:p>
        </w:tc>
        <w:tc>
          <w:tcPr>
            <w:tcW w:type="dxa" w:w="27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El diseño inicial asumía una sola sucursal con un stock global por producto; el negocio real (La Pana) opera con inventario independiente por sucursal — hacía falta una fila de stock por combinación producto+sucursal.</w:t>
            </w:r>
          </w:p>
        </w:tc>
      </w:tr>
      <w:tr>
        <w:tc>
          <w:tcPr>
            <w:tcW w:type="dxa" w:w="15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04-08-2026
1e7728f</w:t>
            </w:r>
          </w:p>
        </w:tc>
        <w:tc>
          <w:tcPr>
            <w:tcW w:type="dxa" w:w="22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17 tablas nuevas:
arqueo_caja, historial_caja,
movimiento_caja,
movimiento_inventario,
tipo_movimiento_inventario,
ayuda, datos_empresa
+ 9 tablas técnicas de
Django (auth_*, django_*)</w:t>
            </w:r>
          </w:p>
        </w:tc>
        <w:tc>
          <w:tcPr>
            <w:tcW w:type="dxa" w:w="32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Regeneración completa del archivo DDL a partir de un export real de la base de datos: el esquema documentado pasó de 26 a 43 tablas de un solo commit (1 015 líneas insertadas / 915 eliminadas).</w:t>
            </w:r>
          </w:p>
        </w:tc>
        <w:tc>
          <w:tcPr>
            <w:tcW w:type="dxa" w:w="27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El archivo database/ddl/ llevaba semanas desactualizado frente a la BD real — la propia auditoría del equipo (checklist de Yilbert, 03-08) lo señaló como "26 tablas documentadas vs. 42 reales". Se reemplazó el DDL manual por el dump real para restaurar la fuente de verdad.</w:t>
            </w:r>
          </w:p>
        </w:tc>
      </w:tr>
      <w:tr>
        <w:tc>
          <w:tcPr>
            <w:tcW w:type="dxa" w:w="15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05-08-2026
4e898cc</w:t>
            </w:r>
          </w:p>
        </w:tc>
        <w:tc>
          <w:tcPr>
            <w:tcW w:type="dxa" w:w="22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detalle_pago (tabla nueva)
ajuda.imagen (columna)
movimiento_caja.tipo_movimiento (ENUM)</w:t>
            </w:r>
          </w:p>
        </w:tc>
        <w:tc>
          <w:tcPr>
            <w:tcW w:type="dxa" w:w="32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Se crea la tabla detalle_pago (id_detalle_pago, id_venta, id_metodo_pago, monto, referencia); se agrega la columna imagen a ayuda; el ENUM tipo_movimiento de movimiento_caja gana el valor 'GASTO'.</w:t>
            </w:r>
          </w:p>
        </w:tc>
        <w:tc>
          <w:tcPr>
            <w:tcW w:type="dxa" w:w="27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El código de Ventas ya intentaba usar el modelo Django DetallePago para soportar pago mixto/múltiple, pero la tabla no existía en la BD real — cualquier cobro terminaba en ProgrammingError. Se optó por crear la tabla en vez de eliminar el concepto de pago dividido. 'GASTO' se agrega para que el nuevo módulo de Gastos Operativos pueda generar movimientos de caja reales.</w:t>
            </w:r>
          </w:p>
        </w:tc>
      </w:tr>
      <w:tr>
        <w:tc>
          <w:tcPr>
            <w:tcW w:type="dxa" w:w="15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07-08-2026
f76533c</w:t>
            </w:r>
          </w:p>
        </w:tc>
        <w:tc>
          <w:tcPr>
            <w:tcW w:type="dxa" w:w="22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ajuste.folio (columna, UNIQUE)
apertura_caja.turno (columna)
log_acciones.tipo_accion (ENUM)</w:t>
            </w:r>
          </w:p>
        </w:tc>
        <w:tc>
          <w:tcPr>
            <w:tcW w:type="dxa" w:w="32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Se agregan folio a ajuste, turno a apertura_caja, y el valor 'CAMBIAR_USUARIO' al ENUM tipo_accion de log_acciones.</w:t>
            </w:r>
          </w:p>
        </w:tc>
        <w:tc>
          <w:tcPr>
            <w:tcW w:type="dxa" w:w="27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Estos tres campos estaban descritos en el texto de los RF (RF-014 turno de caja, RF-018 folio de ajuste, RF-034 evento propio de cambio de usuario) pero no existían en la BD real hasta esta fecha — se cierran los tres huecos de esquema en el mismo commit.</w:t>
            </w:r>
          </w:p>
        </w:tc>
      </w:tr>
      <w:tr>
        <w:tc>
          <w:tcPr>
            <w:tcW w:type="dxa" w:w="15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08-08-2026
8ebe666</w:t>
            </w:r>
          </w:p>
        </w:tc>
        <w:tc>
          <w:tcPr>
            <w:tcW w:type="dxa" w:w="22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gasto_operativo.comprobante (columna)</w:t>
            </w:r>
          </w:p>
        </w:tc>
        <w:tc>
          <w:tcPr>
            <w:tcW w:type="dxa" w:w="32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Se agrega la columna comprobante (ruta de archivo) a gasto_operativo.</w:t>
            </w:r>
          </w:p>
        </w:tc>
        <w:tc>
          <w:tcPr>
            <w:tcW w:type="dxa" w:w="27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RF-026 pedía poder adjuntar el comprobante/factura de un gasto operativo; el campo había quedado pendiente en la primera versión de la tabla — se cierra junto con el resto de contenido recuperado tras el merge final.</w:t>
            </w:r>
          </w:p>
        </w:tc>
      </w:tr>
    </w:tbl>
    <w:p>
      <w:pPr>
        <w:spacing w:after="40" w:before="0" w:line="276"/>
        <w:jc w:val="left"/>
      </w:pPr>
      <w:r>
        <w:rPr>
          <w:rFonts w:ascii="Calibri" w:cs="Calibri" w:eastAsia="Calibri" w:hAnsi="Calibri"/>
          <w:b w:val="false"/>
          <w:bCs w:val="false"/>
          <w:i w:val="false"/>
          <w:iCs w:val="false"/>
          <w:color w:val="2B2118"/>
          <w:sz w:val="21"/>
          <w:szCs w:val="21"/>
        </w:rPr>
        <w:t xml:space="preserve"/>
      </w:r>
    </w:p>
    <w:p>
      <w:pPr>
        <w:spacing w:after="120" w:before="0" w:line="276"/>
        <w:jc w:val="left"/>
      </w:pPr>
      <w:r>
        <w:rPr>
          <w:rFonts w:ascii="Calibri" w:cs="Calibri" w:eastAsia="Calibri" w:hAnsi="Calibri"/>
          <w:b w:val="false"/>
          <w:bCs w:val="false"/>
          <w:i/>
          <w:iCs/>
          <w:color w:val="4A4038"/>
          <w:sz w:val="19"/>
          <w:szCs w:val="19"/>
        </w:rPr>
        <w:t xml:space="preserve">Nota sobre sincronización BD ↔ Django: en varios casos (inventario el 07-08, cliente el 06-08, varias apps más) el cambio de esquema se había aplicado antes contra la base real, y el historial interno de migraciones de Django se sincronizó después con SeparateDatabaseAndState o migrate --fake, para no reintentar crear columnas que ya existían. makemigrations --dry-run confirmó "No changes detected" en todo el proyecto al cierre del 06-08.</w:t>
      </w:r>
    </w:p>
    <w:p>
      <w:pPr>
        <w:pStyle w:val="Heading1"/>
        <w:pBdr>
          <w:bottom w:val="single" w:color="D97B29" w:sz="12" w:space="6"/>
        </w:pBdr>
        <w:spacing w:after="220" w:before="420"/>
      </w:pPr>
      <w:r>
        <w:rPr>
          <w:rFonts w:ascii="Georgia" w:cs="Georgia" w:eastAsia="Georgia" w:hAnsi="Georgia"/>
          <w:b/>
          <w:bCs/>
          <w:color w:val="4A2E1E"/>
          <w:sz w:val="30"/>
          <w:szCs w:val="30"/>
        </w:rPr>
        <w:t xml:space="preserve">3. Cambios funcionales y de arquitectura por módulo</w:t>
      </w:r>
    </w:p>
    <w:p>
      <w:pPr>
        <w:spacing w:after="120" w:before="0" w:line="276"/>
        <w:jc w:val="left"/>
      </w:pPr>
      <w:r>
        <w:rPr>
          <w:rFonts w:ascii="Calibri" w:cs="Calibri" w:eastAsia="Calibri" w:hAnsi="Calibri"/>
          <w:b w:val="false"/>
          <w:bCs w:val="false"/>
          <w:i w:val="false"/>
          <w:iCs w:val="false"/>
          <w:color w:val="2B2118"/>
          <w:sz w:val="21"/>
          <w:szCs w:val="21"/>
        </w:rPr>
        <w:t xml:space="preserve">Para cada módulo relevante se listan las diferencias verificadas entre lo inicialmente documentado (Entregable #4 y el texto de los RF) y lo que finalmente quedó implementado en backend/apps/, con la razón del cambio (bug bloqueante, hallazgo de auditoría, requerimiento no contemplado en el diseño original, o mejora de UX pedida por el equipo).</w:t>
      </w:r>
    </w:p>
    <w:p>
      <w:pPr>
        <w:pStyle w:val="Heading2"/>
        <w:spacing w:after="160" w:before="320"/>
      </w:pPr>
      <w:r>
        <w:rPr>
          <w:rFonts w:ascii="Georgia" w:cs="Georgia" w:eastAsia="Georgia" w:hAnsi="Georgia"/>
          <w:b/>
          <w:bCs/>
          <w:color w:val="D97B29"/>
          <w:sz w:val="24"/>
          <w:szCs w:val="24"/>
        </w:rPr>
        <w:t xml:space="preserve">Ventas / POS (RF-012)</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Cambio de arquitectura mayor (04-08): el carrito del checkout abandonó por completo los Django formsets y pasó a un flujo JSON/AJAX propio (vista procesar_venta, acción "cobrar"/"pausar"). La decisión llegó después de tres bugs consecutivos sobre el mismo mecanismo de formset (métodos de pago enviados como texto en vez de PK real, función puente inexistente al reanudar una venta pausada, y un campo oculto de PK que Django seguía exigiendo pese a forzar required=False) — se documentó como "cada intento de parchar generaba un bug distinto en el mismo lugar".</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crear_venta() no calculaba subtotal/impuesto/total (solo lo hacía guardar_venta_pendiente, una función distinta): la primera venta real de la base de datos falló por este motivo — bug bloqueante corregido el 04-08.</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venta.metodo_pago es NOT NULL en la BD real pero el formulario del POS nunca lo pedía; ahora se deriva automáticamente de las líneas de DetallePago (un método → ese método; varios → "Mixto"; ninguno → "Pendiente").</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Extracción de capa Repository/Service (06-08, pedido explícito de César): VentaRepository y VentaService (+ VentaValidationError) se separaron de views.py, que pasó de ~1 016 líneas monolíticas a orquestar llamadas al servicio, preservando el mismo contrato JSON, mensajes y mecanismo de rollback — confirmado con py_compile y grep cruzado contra el JS del frontend.</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Comprobante de venta imprimible en PDF (reportlab + fuente DejaVu Sans para el símbolo ₡) y envío por correo (ComprobanteEmailService), con rebranding a "La Pana" en vez de "SIGEPAN" para la entrega a la empresa real que prestó su nombre al proyecto (05-08).</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Bug de "no aparecen las ventas del día": lista_ventas() filtraba con fecha__date=, que depende de CONVERT_TZ de MySQL — función que devuelve NULL en silencio si las tablas de zona horaria del servidor no están cargadas. Corregido calculando el rango [medianoche de hoy, medianoche de mañana) en Python; el mismo patrón se encontró y corrigió en 5 archivos más (dashboard, reportes, ajustes, gastos_operativos, mermas).</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Bug de UI: el link "Volver a Caja" en el reporte de ventas diarias usaba apertura.id_apertura (PK de AperturaCaja) en vez de apertura.caja_id (PK real de Caja) — casi cualquier apertura activa generaba un Http404.</w:t>
      </w:r>
    </w:p>
    <w:p>
      <w:pPr>
        <w:pStyle w:val="Heading2"/>
        <w:spacing w:after="160" w:before="320"/>
      </w:pPr>
      <w:r>
        <w:rPr>
          <w:rFonts w:ascii="Georgia" w:cs="Georgia" w:eastAsia="Georgia" w:hAnsi="Georgia"/>
          <w:b/>
          <w:bCs/>
          <w:color w:val="D97B29"/>
          <w:sz w:val="24"/>
          <w:szCs w:val="24"/>
        </w:rPr>
        <w:t xml:space="preserve">Caja — apertura y cierre (RF-014 / RF-015)</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Bug real de seguridad de negocio: desactivar_caja nunca detectaba una apertura activa. La validación usaba hasattr(caja, "apertura_activa"), pero ese atributo solo se asigna dinámicamente en lista_cajas() — en el contexto de desactivar_caja siempre era False. En la práctica se podía desactivar cualquier caja aunque tuviera una apertura abierta. Corregido consultando directamente AperturaCaja.objects.filter(caja=caja, estado=True).exists().</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CSRF: activar_caja/desactivar_caja mutaban el estado de una caja en una petición GET disparada desde un &lt;a href&gt; — visitar el link bastaba para activar/desactivar una caja. Se agregó el guard de método POST y se convirtieron los links en formularios con csrf_token y confirm().</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Campo turno: no existía ni en el modelo ni en la BD pese a formar parte del texto del RF-014 — se agregó la columna apertura_caja.turno (07-08) y se volvió obligatorio en el formulario.</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Extracción tardía de capa Repository/Service (07-08): CajaRepository/AperturaCajaRepository/MovimientoCajaRepository/ArqueoCajaRepository/HistorialCajaRepository + sus Services correspondientes — views.py dejó de consultar los modelos directo, con los mismos mensajes/redirects/permisos verificados línea por línea.</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Migración de las 3 pantallas de caja (lista_cajas, administrar_caja, detalle_caja) de tablas HTML planas/DataTables roto a Tabulator.js, con los botones activar/desactivar convertidos de &lt;form&gt; tradicional a fetch + CSRF.</w:t>
      </w:r>
    </w:p>
    <w:p>
      <w:pPr>
        <w:pStyle w:val="Heading2"/>
        <w:spacing w:after="160" w:before="320"/>
      </w:pPr>
      <w:r>
        <w:rPr>
          <w:rFonts w:ascii="Georgia" w:cs="Georgia" w:eastAsia="Georgia" w:hAnsi="Georgia"/>
          <w:b/>
          <w:bCs/>
          <w:color w:val="D97B29"/>
          <w:sz w:val="24"/>
          <w:szCs w:val="24"/>
        </w:rPr>
        <w:t xml:space="preserve">Inventario (RF-016)</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Rediseño de esquema (05-07-2026, ver sección 2): inventario pasó de una fila global por producto a una fila por producto + sucursal, con UNIQUE(id_producto, id_sucursal) — cambio de fondo respecto al diseño documentado originalmente, motivado por el modelo multi-sucursal real del negocio.</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Bug de nombres de campo: varias vistas usaban Inventario.objects.filter(producto=..., sucursal=...) cuando los nombres reales de columna son id_producto/id_sucursal — generaba FieldError inmediato al validar stock; corregido en ventas, compras e inventario.</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Vistas sin ningún control de sesión ni permisos (lista_inventario, detalle_inventario, editar_inventario): cualquiera con la URL podía ver y editar existencias sin autenticarse. Corregido el 05-08 con login_required + permiso_requerido, lo que obligó a extender seed_permisos_modulos.py para garantizar el permiso MODIFICAR.</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Los FK de Inventario/MovimientoInventario usaban on_delete=DO_NOTHING; se cambiaron a PROTECT y se agregó el UniqueConstraint(id_producto, id_sucursal) también a nivel de modelo Django (07-08), igualando la restricción que ya existía en la BD real desde el 05-07.</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managed=False agregado a las 3 clases de modelo del módulo (06-08) — sin esto había riesgo real de que makemigrations/migrate intentara crear estas tablas de negocio en un entorno nuevo.</w:t>
      </w:r>
    </w:p>
    <w:p>
      <w:pPr>
        <w:pStyle w:val="Heading2"/>
        <w:spacing w:after="160" w:before="320"/>
      </w:pPr>
      <w:r>
        <w:rPr>
          <w:rFonts w:ascii="Georgia" w:cs="Georgia" w:eastAsia="Georgia" w:hAnsi="Georgia"/>
          <w:b/>
          <w:bCs/>
          <w:color w:val="D97B29"/>
          <w:sz w:val="24"/>
          <w:szCs w:val="24"/>
        </w:rPr>
        <w:t xml:space="preserve">Mermas (RF-017)</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Módulo construido desde cero (04-08): la tabla merma ya existía en la BD real (herencia del diseño original), pero no existía ninguna app Django, modelo, vista ni ruta — 0 % de código antes de esa fecha pese a que el esquema estaba listo.</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Merma no hereda BaseModel (a diferencia de la mayoría del proyecto): la tabla real no tiene columnas estado ni fecha_actualizacion — es un registro histórico no editable, decisión de diseño explícita.</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MermaService.registrar() descuenta stock real vía MovimientoInventarioService usando un tipo de movimiento propio, MERMA, separado a propósito de AJUSTE_NEGATIVO (son eventos de negocio distintos aunque ambos bajan stock).</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Bug corregido (07-08): TypeError: combine() argument 1 must be datetime.date, not str en los filtros de fecha del listado — _limite_inferior() asumía un objeto date pero recibía el string crudo del input de fecha; el mismo patrón se encontró y corrigió en ajustes, gastos_operativos y reportes.</w:t>
      </w:r>
    </w:p>
    <w:p>
      <w:pPr>
        <w:pStyle w:val="Heading2"/>
        <w:spacing w:after="160" w:before="320"/>
      </w:pPr>
      <w:r>
        <w:rPr>
          <w:rFonts w:ascii="Georgia" w:cs="Georgia" w:eastAsia="Georgia" w:hAnsi="Georgia"/>
          <w:b/>
          <w:bCs/>
          <w:color w:val="D97B29"/>
          <w:sz w:val="24"/>
          <w:szCs w:val="24"/>
        </w:rPr>
        <w:t xml:space="preserve">Ajustes de inventario (RF-018)</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Módulo construido desde cero (04-08), mismo caso que Mermas: tabla ajuste preexistente en la BD, sin código de aplicación hasta esa fecha.</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AjusteService.registrar(): tipo ENTRADA usa AJUSTE_POSITIVO y crea el registro de inventario si no existía (corrige una omisión posible); tipo SALIDA usa AJUSTE_NEGATIVO y exige que el inventario ya exista, sin permitir stock negativo.</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Columna ajuste.folio agregada a la BD (07-08, UNIQUE) para dar al ajuste el número de documento propio que el texto del RF pedía y que no existía en el diseño original — antes solo se identificaba por id_ajuste interno.</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Endpoint AJAX nuevo, ajustes:productos_disponibles: el &lt;select&gt; de producto del formulario se refresca según el tipo de ajuste elegido (SALIDA solo ofrece productos con inventario existente en la sucursal del usuario).</w:t>
      </w:r>
    </w:p>
    <w:p>
      <w:pPr>
        <w:pStyle w:val="Heading2"/>
        <w:spacing w:after="160" w:before="320"/>
      </w:pPr>
      <w:r>
        <w:rPr>
          <w:rFonts w:ascii="Georgia" w:cs="Georgia" w:eastAsia="Georgia" w:hAnsi="Georgia"/>
          <w:b/>
          <w:bCs/>
          <w:color w:val="D97B29"/>
          <w:sz w:val="24"/>
          <w:szCs w:val="24"/>
        </w:rPr>
        <w:t xml:space="preserve">Gastos operativos (RF-026)</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Módulo construido desde cero (04-08); a diferencia de Mermas/Ajustes, gasto_operativo sí hereda BaseModel porque la tabla real sí tiene estado/fecha_actualizacion — permite deshabilitar un gasto cargado por error sin borrarlo.</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Integración con caja: si el usuario tiene una AperturaCaja activa, el gasto se vincula a esa caja y genera un MovimientoCaja tipo GASTO, que calcular_saldo_sistema() ya restaba del saldo — para que este tipo existiera de forma válida en la BD fue necesario ampliar el ENUM movimiento_caja.tipo_movimiento (ver sección 2, commit 4e898cc).</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Campo comprobante (archivo adjunto) ausente en la primera versión de la tabla pese a que el RF-026 lo pedía explícitamente — se agregó en código (FileField, subida a media/gastos_operativos/) y en la BD real el 08-08 (gasto_operativo.comprobante).</w:t>
      </w:r>
    </w:p>
    <w:p>
      <w:pPr>
        <w:pStyle w:val="Heading2"/>
        <w:spacing w:after="160" w:before="320"/>
      </w:pPr>
      <w:r>
        <w:rPr>
          <w:rFonts w:ascii="Georgia" w:cs="Georgia" w:eastAsia="Georgia" w:hAnsi="Georgia"/>
          <w:b/>
          <w:bCs/>
          <w:color w:val="D97B29"/>
          <w:sz w:val="24"/>
          <w:szCs w:val="24"/>
        </w:rPr>
        <w:t xml:space="preserve">Seguridad (RF-004 y transversal)</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Ver el detalle completo de hallazgos de seguridad en la sección 4.</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cambiar_usuario_view() (RF-034) reutilizaba el tipo LOGOUT del catálogo de log_acciones para registrar el cambio de usuario, por no querer tocar el ENUM bajo presión de tiempo; el 07-08 se agregó el valor propio CAMBIAR_USUARIO al ENUM de log_acciones y la vista se actualizó para usarlo, diferenciando por fin este evento de un logout real.</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Columna nueva usuario.google_refresh_token (RF-023) para poder renovar el acceso a la API de Google (exportación a Sheets) sin pedir al usuario que revincule su cuenta cada hora.</w:t>
      </w:r>
    </w:p>
    <w:p>
      <w:pPr>
        <w:pStyle w:val="Heading2"/>
        <w:spacing w:after="160" w:before="320"/>
      </w:pPr>
      <w:r>
        <w:rPr>
          <w:rFonts w:ascii="Georgia" w:cs="Georgia" w:eastAsia="Georgia" w:hAnsi="Georgia"/>
          <w:b/>
          <w:bCs/>
          <w:color w:val="D97B29"/>
          <w:sz w:val="24"/>
          <w:szCs w:val="24"/>
        </w:rPr>
        <w:t xml:space="preserve">Reportes (RF-019 / RF-025 / RF-027)</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App construida desde cero (03-08): repositories.py, services.py, exports.py (PDF/Excel genérico), reporte de ventas, inventario, tributario mensual y utilidad estimada.</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Exportación a Google Sheets agregada después (07-08) sobre los 4 reportes y las 2 bitácoras de seguridad, reutilizando un único módulo google_sheets.py sin duplicar lógica.</w:t>
      </w:r>
    </w:p>
    <w:p>
      <w:pPr>
        <w:pStyle w:val="ListParagraph"/>
        <w:numPr>
          <w:ilvl w:val="0"/>
          <w:numId w:val="1"/>
        </w:numPr>
        <w:spacing w:after="90" w:line="268"/>
        <w:ind w:left="340"/>
      </w:pPr>
      <w:r>
        <w:rPr>
          <w:rFonts w:ascii="Calibri" w:cs="Calibri" w:eastAsia="Calibri" w:hAnsi="Calibri"/>
          <w:b w:val="false"/>
          <w:bCs w:val="false"/>
          <w:color w:val="2B2118"/>
          <w:sz w:val="20"/>
          <w:szCs w:val="20"/>
        </w:rPr>
        <w:t xml:space="preserve">Mismo bug de zona horaria que Ventas (fecha__date=/fecha__year=) encontrado y corregido en los 3 métodos de repositories.py que reciben rango de fechas.</w:t>
      </w:r>
    </w:p>
    <w:p>
      <w:pPr>
        <w:pStyle w:val="Heading1"/>
        <w:pBdr>
          <w:bottom w:val="single" w:color="D97B29" w:sz="12" w:space="6"/>
        </w:pBdr>
        <w:spacing w:after="220" w:before="420"/>
      </w:pPr>
      <w:r>
        <w:rPr>
          <w:rFonts w:ascii="Georgia" w:cs="Georgia" w:eastAsia="Georgia" w:hAnsi="Georgia"/>
          <w:b/>
          <w:bCs/>
          <w:color w:val="4A2E1E"/>
          <w:sz w:val="30"/>
          <w:szCs w:val="30"/>
        </w:rPr>
        <w:t xml:space="preserve">4. Hallazgos de seguridad corregidos durante el desarrollo</w:t>
      </w:r>
    </w:p>
    <w:p>
      <w:pPr>
        <w:spacing w:after="120" w:before="0" w:line="276"/>
        <w:jc w:val="left"/>
      </w:pPr>
      <w:r>
        <w:rPr>
          <w:rFonts w:ascii="Calibri" w:cs="Calibri" w:eastAsia="Calibri" w:hAnsi="Calibri"/>
          <w:b w:val="false"/>
          <w:bCs w:val="false"/>
          <w:i w:val="false"/>
          <w:iCs w:val="false"/>
          <w:color w:val="2B2118"/>
          <w:sz w:val="21"/>
          <w:szCs w:val="21"/>
        </w:rPr>
        <w:t xml:space="preserve">Entre el 04 y el 07 de agosto de 2026 el equipo ejecutó varias rondas de auditoría dirigida (equivalentes a 4 revisores especializados en seguridad, arquitectura de BD, desarrollo/UX y verificación cruzada del propio checklist) sobre el código real sin conexión a MySQL — la verificación se hizo con py_compile/compileall sobre la totalidad de backend/apps y backend/config, más revisión manual línea por línea contra el DDL. Todos los hallazgos listados abajo quedaron corregidos en código durante esas mismas sesiones; el estado "pendiente de probar en tu máquina" que aparece repetido en el checklist responde a que ese entorno de desarrollo asistido no tenía acceso a una instancia MySQL real ni a una versión de Python compatible con Django 6.0 (requiere 3.11+).</w:t>
      </w:r>
    </w:p>
    <w:tbl>
      <w:tblPr>
        <w:tblW w:type="dxa" w:w="10000"/>
        <w:tblBorders>
          <w:top w:val="single" w:color="C9B79C" w:sz="4"/>
          <w:left w:val="single" w:color="C9B79C" w:sz="4"/>
          <w:bottom w:val="single" w:color="C9B79C" w:sz="4"/>
          <w:right w:val="single" w:color="C9B79C" w:sz="4"/>
          <w:insideH w:val="single" w:color="DCCBB0" w:sz="2"/>
          <w:insideV w:val="single" w:color="DCCBB0" w:sz="2"/>
        </w:tblBorders>
      </w:tblPr>
      <w:tblGrid>
        <w:gridCol w:w="1150"/>
        <w:gridCol w:w="1750"/>
        <w:gridCol w:w="1750"/>
        <w:gridCol w:w="2750"/>
        <w:gridCol w:w="2600"/>
      </w:tblGrid>
      <w:tr>
        <w:trPr>
          <w:tblHeader/>
        </w:trPr>
        <w:tc>
          <w:tcPr>
            <w:tcW w:type="dxa" w:w="1150"/>
            <w:shd w:fill="7B4B27" w:val="clear"/>
            <w:tcMar>
              <w:top w:type="dxa" w:w="90"/>
              <w:left w:type="dxa" w:w="110"/>
              <w:bottom w:type="dxa" w:w="90"/>
              <w:right w:type="dxa" w:w="110"/>
            </w:tcMar>
            <w:vAlign w:val="center"/>
          </w:tcPr>
          <w:p>
            <w:pPr>
              <w:spacing w:after="40" w:line="250"/>
              <w:jc w:val="center"/>
            </w:pPr>
            <w:r>
              <w:rPr>
                <w:rFonts w:ascii="Calibri" w:cs="Calibri" w:eastAsia="Calibri" w:hAnsi="Calibri"/>
                <w:b/>
                <w:bCs/>
                <w:color w:val="FFFFFF"/>
                <w:sz w:val="18"/>
                <w:szCs w:val="18"/>
              </w:rPr>
              <w:t xml:space="preserve">Fecha</w:t>
            </w:r>
          </w:p>
        </w:tc>
        <w:tc>
          <w:tcPr>
            <w:tcW w:type="dxa" w:w="1750"/>
            <w:shd w:fill="7B4B27" w:val="clear"/>
            <w:tcMar>
              <w:top w:type="dxa" w:w="90"/>
              <w:left w:type="dxa" w:w="110"/>
              <w:bottom w:type="dxa" w:w="90"/>
              <w:right w:type="dxa" w:w="110"/>
            </w:tcMar>
            <w:vAlign w:val="center"/>
          </w:tcPr>
          <w:p>
            <w:pPr>
              <w:spacing w:after="40" w:line="250"/>
              <w:jc w:val="center"/>
            </w:pPr>
            <w:r>
              <w:rPr>
                <w:rFonts w:ascii="Calibri" w:cs="Calibri" w:eastAsia="Calibri" w:hAnsi="Calibri"/>
                <w:b/>
                <w:bCs/>
                <w:color w:val="FFFFFF"/>
                <w:sz w:val="18"/>
                <w:szCs w:val="18"/>
              </w:rPr>
              <w:t xml:space="preserve">Ubicación</w:t>
            </w:r>
          </w:p>
        </w:tc>
        <w:tc>
          <w:tcPr>
            <w:tcW w:type="dxa" w:w="1750"/>
            <w:shd w:fill="7B4B27" w:val="clear"/>
            <w:tcMar>
              <w:top w:type="dxa" w:w="90"/>
              <w:left w:type="dxa" w:w="110"/>
              <w:bottom w:type="dxa" w:w="90"/>
              <w:right w:type="dxa" w:w="110"/>
            </w:tcMar>
            <w:vAlign w:val="center"/>
          </w:tcPr>
          <w:p>
            <w:pPr>
              <w:spacing w:after="40" w:line="250"/>
              <w:jc w:val="center"/>
            </w:pPr>
            <w:r>
              <w:rPr>
                <w:rFonts w:ascii="Calibri" w:cs="Calibri" w:eastAsia="Calibri" w:hAnsi="Calibri"/>
                <w:b/>
                <w:bCs/>
                <w:color w:val="FFFFFF"/>
                <w:sz w:val="18"/>
                <w:szCs w:val="18"/>
              </w:rPr>
              <w:t xml:space="preserve">Hallazgo</w:t>
            </w:r>
          </w:p>
        </w:tc>
        <w:tc>
          <w:tcPr>
            <w:tcW w:type="dxa" w:w="2750"/>
            <w:shd w:fill="7B4B27" w:val="clear"/>
            <w:tcMar>
              <w:top w:type="dxa" w:w="90"/>
              <w:left w:type="dxa" w:w="110"/>
              <w:bottom w:type="dxa" w:w="90"/>
              <w:right w:type="dxa" w:w="110"/>
            </w:tcMar>
            <w:vAlign w:val="center"/>
          </w:tcPr>
          <w:p>
            <w:pPr>
              <w:spacing w:after="40" w:line="250"/>
              <w:jc w:val="center"/>
            </w:pPr>
            <w:r>
              <w:rPr>
                <w:rFonts w:ascii="Calibri" w:cs="Calibri" w:eastAsia="Calibri" w:hAnsi="Calibri"/>
                <w:b/>
                <w:bCs/>
                <w:color w:val="FFFFFF"/>
                <w:sz w:val="18"/>
                <w:szCs w:val="18"/>
              </w:rPr>
              <w:t xml:space="preserve">Riesgo</w:t>
            </w:r>
          </w:p>
        </w:tc>
        <w:tc>
          <w:tcPr>
            <w:tcW w:type="dxa" w:w="2600"/>
            <w:shd w:fill="7B4B27" w:val="clear"/>
            <w:tcMar>
              <w:top w:type="dxa" w:w="90"/>
              <w:left w:type="dxa" w:w="110"/>
              <w:bottom w:type="dxa" w:w="90"/>
              <w:right w:type="dxa" w:w="110"/>
            </w:tcMar>
            <w:vAlign w:val="center"/>
          </w:tcPr>
          <w:p>
            <w:pPr>
              <w:spacing w:after="40" w:line="250"/>
              <w:jc w:val="center"/>
            </w:pPr>
            <w:r>
              <w:rPr>
                <w:rFonts w:ascii="Calibri" w:cs="Calibri" w:eastAsia="Calibri" w:hAnsi="Calibri"/>
                <w:b/>
                <w:bCs/>
                <w:color w:val="FFFFFF"/>
                <w:sz w:val="18"/>
                <w:szCs w:val="18"/>
              </w:rPr>
              <w:t xml:space="preserve">Corrección aplicada</w:t>
            </w:r>
          </w:p>
        </w:tc>
      </w:tr>
      <w:tr>
        <w:tc>
          <w:tcPr>
            <w:tcW w:type="dxa" w:w="115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05-08-2026</w:t>
            </w:r>
          </w:p>
        </w:tc>
        <w:tc>
          <w:tcPr>
            <w:tcW w:type="dxa" w:w="175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apps/inventario/views.py</w:t>
            </w:r>
          </w:p>
        </w:tc>
        <w:tc>
          <w:tcPr>
            <w:tcW w:type="dxa" w:w="175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Sin autenticación ni permisos</w:t>
            </w:r>
          </w:p>
        </w:tc>
        <w:tc>
          <w:tcPr>
            <w:tcW w:type="dxa" w:w="275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lista_inventario, detalle_inventario y editar_inventario no tenían ningún control de sesión ni de permisos — cualquiera con la URL podía ver y editar existencias/umbrales sin autenticarse.</w:t>
            </w:r>
          </w:p>
        </w:tc>
        <w:tc>
          <w:tcPr>
            <w:tcW w:type="dxa" w:w="2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Se agregaron @login_required + @permiso_requerido("Inventario", ...); se extendió seed_permisos_modulos.py para garantizar el permiso MODIFICAR de forma idempotente.</w:t>
            </w:r>
          </w:p>
        </w:tc>
      </w:tr>
      <w:tr>
        <w:tc>
          <w:tcPr>
            <w:tcW w:type="dxa" w:w="115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05-08-2026</w:t>
            </w:r>
          </w:p>
        </w:tc>
        <w:tc>
          <w:tcPr>
            <w:tcW w:type="dxa" w:w="175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apps/clientes/views.py
buscar_cliente_pos</w:t>
            </w:r>
          </w:p>
        </w:tc>
        <w:tc>
          <w:tcPr>
            <w:tcW w:type="dxa" w:w="175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Endpoint duplicado sin autenticación</w:t>
            </w:r>
          </w:p>
        </w:tc>
        <w:tc>
          <w:tcPr>
            <w:tcW w:type="dxa" w:w="275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Endpoint sin uso real (el POS usa ventas:buscar_clientes_pos) que exponía nombre y cédula/DIMEX de cualquier cliente sin sesión iniciada.</w:t>
            </w:r>
          </w:p>
        </w:tc>
        <w:tc>
          <w:tcPr>
            <w:tcW w:type="dxa" w:w="2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Se agregó la misma validación manual de sesión (401 en JSON) que ya usan los demás endpoints AJAX del proyecto.</w:t>
            </w:r>
          </w:p>
        </w:tc>
      </w:tr>
      <w:tr>
        <w:tc>
          <w:tcPr>
            <w:tcW w:type="dxa" w:w="115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05-08-2026</w:t>
            </w:r>
          </w:p>
        </w:tc>
        <w:tc>
          <w:tcPr>
            <w:tcW w:type="dxa" w:w="175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apps/caja/views.py
activar_caja / desactivar_caja</w:t>
            </w:r>
          </w:p>
        </w:tc>
        <w:tc>
          <w:tcPr>
            <w:tcW w:type="dxa" w:w="175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Mutación vía GET, sin CSRF</w:t>
            </w:r>
          </w:p>
        </w:tc>
        <w:tc>
          <w:tcPr>
            <w:tcW w:type="dxa" w:w="275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Ambas vistas mutaban el estado de una caja en una petición GET disparada desde un &lt;a href&gt; — visitar el link bastaba para activar/desactivar cualquier caja.</w:t>
            </w:r>
          </w:p>
        </w:tc>
        <w:tc>
          <w:tcPr>
            <w:tcW w:type="dxa" w:w="2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Guard de método POST agregado en ambas vistas; los &lt;a href&gt; del template se convirtieron en &lt;form method="post"&gt; con csrf_token y confirm().</w:t>
            </w:r>
          </w:p>
        </w:tc>
      </w:tr>
      <w:tr>
        <w:tc>
          <w:tcPr>
            <w:tcW w:type="dxa" w:w="115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05-08-2026</w:t>
            </w:r>
          </w:p>
        </w:tc>
        <w:tc>
          <w:tcPr>
            <w:tcW w:type="dxa" w:w="175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apps/categorias/templates/
lista.html</w:t>
            </w:r>
          </w:p>
        </w:tc>
        <w:tc>
          <w:tcPr>
            <w:tcW w:type="dxa" w:w="175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XSS reflejado vía filtro |safe</w:t>
            </w:r>
          </w:p>
        </w:tc>
        <w:tc>
          <w:tcPr>
            <w:tcW w:type="dxa" w:w="275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categoria.descripcion|default:"&lt;span&gt;Sin descripción&lt;/span&gt;" usaba |safe — si algún día se guardaba una descripción con HTML/JS, se ejecutaría en el navegador de quien viera el listado.</w:t>
            </w:r>
          </w:p>
        </w:tc>
        <w:tc>
          <w:tcPr>
            <w:tcW w:type="dxa" w:w="2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Se quitó el |safe y se reemplazó por un {% if %}/{% else %} normal, dejando que Django autoescape el texto real.</w:t>
            </w:r>
          </w:p>
        </w:tc>
      </w:tr>
      <w:tr>
        <w:tc>
          <w:tcPr>
            <w:tcW w:type="dxa" w:w="115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05-08-2026</w:t>
            </w:r>
          </w:p>
        </w:tc>
        <w:tc>
          <w:tcPr>
            <w:tcW w:type="dxa" w:w="175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apps/ventas · apps/compras
apps/productos · apps/categorias
apps/caja · apps/proveedores</w:t>
            </w:r>
          </w:p>
        </w:tc>
        <w:tc>
          <w:tcPr>
            <w:tcW w:type="dxa" w:w="175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Rollout general de control de acceso</w:t>
            </w:r>
          </w:p>
        </w:tc>
        <w:tc>
          <w:tcPr>
            <w:tcW w:type="dxa" w:w="275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Un total de 6 de 14 apps del proyecto seguían sin login_required/permiso_requerido en sus vistas — la brecha de seguridad más grande detectada durante la auditoría del 04/05-08.</w:t>
            </w:r>
          </w:p>
        </w:tc>
        <w:tc>
          <w:tcPr>
            <w:tcW w:type="dxa" w:w="2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Se aplicó el patrón @login_required + @permiso_requerido(módulo, acción) + registrar_log en las ~37 vistas restantes; los endpoints AJAX del POS (procesar_venta, buscar_clientes_pos, buscar_producto_pos) usan un patrón manual "seguro para AJAX" que responde 401/403 en JSON en vez de redirigir a una página HTML.</w:t>
            </w:r>
          </w:p>
        </w:tc>
      </w:tr>
      <w:tr>
        <w:tc>
          <w:tcPr>
            <w:tcW w:type="dxa" w:w="115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05-08-2026</w:t>
            </w:r>
          </w:p>
        </w:tc>
        <w:tc>
          <w:tcPr>
            <w:tcW w:type="dxa" w:w="175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apps/ventas/views.py
eliminar_venta_pendiente</w:t>
            </w:r>
          </w:p>
        </w:tc>
        <w:tc>
          <w:tcPr>
            <w:tcW w:type="dxa" w:w="175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Borrado vía GET, sin CSRF</w:t>
            </w:r>
          </w:p>
        </w:tc>
        <w:tc>
          <w:tcPr>
            <w:tcW w:type="dxa" w:w="275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El link de borrado de una venta pendiente disparaba la eliminación con un simple GET.</w:t>
            </w:r>
          </w:p>
        </w:tc>
        <w:tc>
          <w:tcPr>
            <w:tcW w:type="dxa" w:w="2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Convertido a &lt;form method="post"&gt; con csrf_token; la vista ahora exige POST y el permiso ELIMINAR.</w:t>
            </w:r>
          </w:p>
        </w:tc>
      </w:tr>
      <w:tr>
        <w:tc>
          <w:tcPr>
            <w:tcW w:type="dxa" w:w="115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06-08-2026</w:t>
            </w:r>
          </w:p>
        </w:tc>
        <w:tc>
          <w:tcPr>
            <w:tcW w:type="dxa" w:w="175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apps/caja/views.py
desactivar_caja</w:t>
            </w:r>
          </w:p>
        </w:tc>
        <w:tc>
          <w:tcPr>
            <w:tcW w:type="dxa" w:w="175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Control de negocio inefectivo (no XSS/CSRF)</w:t>
            </w:r>
          </w:p>
        </w:tc>
        <w:tc>
          <w:tcPr>
            <w:tcW w:type="dxa" w:w="275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hasattr(caja, "apertura_activa") nunca era verdadero en este contexto — se podía desactivar cualquier caja aunque tuviera una apertura activa, pese al mensaje de error que decía lo contrario.</w:t>
            </w:r>
          </w:p>
        </w:tc>
        <w:tc>
          <w:tcPr>
            <w:tcW w:type="dxa" w:w="2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Se reemplazó por una consulta directa: AperturaCaja.objects.filter(caja=caja, estado=True).exists().</w:t>
            </w:r>
          </w:p>
        </w:tc>
      </w:tr>
      <w:tr>
        <w:tc>
          <w:tcPr>
            <w:tcW w:type="dxa" w:w="115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Auditoría 2.0
(04-08-2026)</w:t>
            </w:r>
          </w:p>
        </w:tc>
        <w:tc>
          <w:tcPr>
            <w:tcW w:type="dxa" w:w="175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apps/security/views.py</w:t>
            </w:r>
          </w:p>
        </w:tc>
        <w:tc>
          <w:tcPr>
            <w:tcW w:type="dxa" w:w="175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Búsqueda de usuario por campo inexistente</w:t>
            </w:r>
          </w:p>
        </w:tc>
        <w:tc>
          <w:tcPr>
            <w:tcW w:type="dxa" w:w="275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Q(email__icontains=...) — el correo vive en Empleado.correo, no en Usuario; la búsqueda de usuarios fallaba silenciosamente.</w:t>
            </w:r>
          </w:p>
        </w:tc>
        <w:tc>
          <w:tcPr>
            <w:tcW w:type="dxa" w:w="2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Corregido a Q(id_empleado__correo__icontains=...).</w:t>
            </w:r>
          </w:p>
        </w:tc>
      </w:tr>
      <w:tr>
        <w:tc>
          <w:tcPr>
            <w:tcW w:type="dxa" w:w="115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Auditoría 2.0
(04-08-2026)</w:t>
            </w:r>
          </w:p>
        </w:tc>
        <w:tc>
          <w:tcPr>
            <w:tcW w:type="dxa" w:w="175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apps/caja · apps/proveedores</w:t>
            </w:r>
          </w:p>
        </w:tc>
        <w:tc>
          <w:tcPr>
            <w:tcW w:type="dxa" w:w="175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Vistas de escritura sin ningún control de sesión</w:t>
            </w:r>
          </w:p>
        </w:tc>
        <w:tc>
          <w:tcPr>
            <w:tcW w:type="dxa" w:w="275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12 vistas de caja y 4 de proveedores mutaban datos sin login_required, incluyendo activar_caja/desactivar_caja por GET.</w:t>
            </w:r>
          </w:p>
        </w:tc>
        <w:tc>
          <w:tcPr>
            <w:tcW w:type="dxa" w:w="2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Rollout de login_required en las 16 vistas (primera capa); el nivel completo permiso_requerido + registrar_log se agregó después, el 05-08.</w:t>
            </w:r>
          </w:p>
        </w:tc>
      </w:tr>
      <w:tr>
        <w:tc>
          <w:tcPr>
            <w:tcW w:type="dxa" w:w="115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05-08-2026</w:t>
            </w:r>
          </w:p>
        </w:tc>
        <w:tc>
          <w:tcPr>
            <w:tcW w:type="dxa" w:w="175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security/services.py
RecuperacionPasswordService</w:t>
            </w:r>
          </w:p>
        </w:tc>
        <w:tc>
          <w:tcPr>
            <w:tcW w:type="dxa" w:w="175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Correo de recuperación cayendo a spam</w:t>
            </w:r>
          </w:p>
        </w:tc>
        <w:tc>
          <w:tcPr>
            <w:tcW w:type="dxa" w:w="275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No era una falla de SMTP/DNS: el cuerpo en texto plano del correo era un placeholder genérico, señal típica de spam para los filtros del proveedor.</w:t>
            </w:r>
          </w:p>
        </w:tc>
        <w:tc>
          <w:tcPr>
            <w:tcW w:type="dxa" w:w="2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Se escribió contenido real en el texto plano (con el enlace) más reply_to configurado.</w:t>
            </w:r>
          </w:p>
        </w:tc>
      </w:tr>
    </w:tbl>
    <w:p>
      <w:pPr>
        <w:pStyle w:val="Heading1"/>
        <w:pBdr>
          <w:bottom w:val="single" w:color="D97B29" w:sz="12" w:space="6"/>
        </w:pBdr>
        <w:spacing w:after="220" w:before="420"/>
      </w:pPr>
      <w:r>
        <w:rPr>
          <w:rFonts w:ascii="Georgia" w:cs="Georgia" w:eastAsia="Georgia" w:hAnsi="Georgia"/>
          <w:b/>
          <w:bCs/>
          <w:color w:val="4A2E1E"/>
          <w:sz w:val="30"/>
          <w:szCs w:val="30"/>
        </w:rPr>
        <w:t xml:space="preserve">5. Resumen de cumplimiento final de RF</w:t>
      </w:r>
    </w:p>
    <w:p>
      <w:pPr>
        <w:spacing w:after="120" w:before="0" w:line="276"/>
        <w:jc w:val="left"/>
      </w:pPr>
      <w:r>
        <w:rPr>
          <w:rFonts w:ascii="Calibri" w:cs="Calibri" w:eastAsia="Calibri" w:hAnsi="Calibri"/>
          <w:b w:val="false"/>
          <w:bCs w:val="false"/>
          <w:i w:val="false"/>
          <w:iCs w:val="false"/>
          <w:color w:val="2B2118"/>
          <w:sz w:val="21"/>
          <w:szCs w:val="21"/>
        </w:rPr>
        <w:t xml:space="preserve">Tabla de estado final de los 34 RF documentados en CHECKLIST_RF_COMPLETO.md / CHECKLIST_YILBERT.md, verificados contra el código real de backend/apps/ en la última ronda de auditoría (07/08-08-2026). El avance promedio de los 34 RF es de aproximadamente 90 %. Los porcentajes por debajo de 100 % no representan funcionalidad rota: en la gran mayoría de los casos corresponden a deuda técnica documentada explícitamente (tests.py vacío, capa Repository/Service pendiente de extraer, validación en forms.ValidationError en vez de un Service dedicado) o a un paso de verificación manual en la máquina real de César que quedó anotado como pendiente. Los tres casos por debajo del 80 % — RF-004 (control de accesos, 65 %), RF-023 (vinculación Google, 55 %) y RF-032 (administración de ayudas, 70 %) — reflejan alcance reducido a propósito por tiempo (RF-004 documenta 6 apps que en su momento quedaron sin mixin de sesión, brecha luego cerrada casi por completo el 05-08 vía el rollout de la sección 4; RF-023 solo cubre login social sin sincronización bidireccional de perfil; RF-032 no tiene campo "código" ni ImageField real todavía).</w:t>
      </w:r>
    </w:p>
    <w:tbl>
      <w:tblPr>
        <w:tblW w:type="dxa" w:w="9800"/>
        <w:tblBorders>
          <w:top w:val="single" w:color="C9B79C" w:sz="4"/>
          <w:left w:val="single" w:color="C9B79C" w:sz="4"/>
          <w:bottom w:val="single" w:color="C9B79C" w:sz="4"/>
          <w:right w:val="single" w:color="C9B79C" w:sz="4"/>
          <w:insideH w:val="single" w:color="DCCBB0" w:sz="2"/>
          <w:insideV w:val="single" w:color="DCCBB0" w:sz="2"/>
        </w:tblBorders>
      </w:tblPr>
      <w:tblGrid>
        <w:gridCol w:w="1300"/>
        <w:gridCol w:w="4700"/>
        <w:gridCol w:w="2200"/>
        <w:gridCol w:w="1600"/>
      </w:tblGrid>
      <w:tr>
        <w:trPr>
          <w:tblHeader/>
        </w:trPr>
        <w:tc>
          <w:tcPr>
            <w:tcW w:type="dxa" w:w="1300"/>
            <w:shd w:fill="7B4B27" w:val="clear"/>
            <w:tcMar>
              <w:top w:type="dxa" w:w="90"/>
              <w:left w:type="dxa" w:w="110"/>
              <w:bottom w:type="dxa" w:w="90"/>
              <w:right w:type="dxa" w:w="110"/>
            </w:tcMar>
            <w:vAlign w:val="center"/>
          </w:tcPr>
          <w:p>
            <w:pPr>
              <w:spacing w:after="40" w:line="250"/>
              <w:jc w:val="center"/>
            </w:pPr>
            <w:r>
              <w:rPr>
                <w:rFonts w:ascii="Calibri" w:cs="Calibri" w:eastAsia="Calibri" w:hAnsi="Calibri"/>
                <w:b/>
                <w:bCs/>
                <w:color w:val="FFFFFF"/>
                <w:sz w:val="18"/>
                <w:szCs w:val="18"/>
              </w:rPr>
              <w:t xml:space="preserve">RF</w:t>
            </w:r>
          </w:p>
        </w:tc>
        <w:tc>
          <w:tcPr>
            <w:tcW w:type="dxa" w:w="4700"/>
            <w:shd w:fill="7B4B27" w:val="clear"/>
            <w:tcMar>
              <w:top w:type="dxa" w:w="90"/>
              <w:left w:type="dxa" w:w="110"/>
              <w:bottom w:type="dxa" w:w="90"/>
              <w:right w:type="dxa" w:w="110"/>
            </w:tcMar>
            <w:vAlign w:val="center"/>
          </w:tcPr>
          <w:p>
            <w:pPr>
              <w:spacing w:after="40" w:line="250"/>
              <w:jc w:val="center"/>
            </w:pPr>
            <w:r>
              <w:rPr>
                <w:rFonts w:ascii="Calibri" w:cs="Calibri" w:eastAsia="Calibri" w:hAnsi="Calibri"/>
                <w:b/>
                <w:bCs/>
                <w:color w:val="FFFFFF"/>
                <w:sz w:val="18"/>
                <w:szCs w:val="18"/>
              </w:rPr>
              <w:t xml:space="preserve">Nombre</w:t>
            </w:r>
          </w:p>
        </w:tc>
        <w:tc>
          <w:tcPr>
            <w:tcW w:type="dxa" w:w="2200"/>
            <w:shd w:fill="7B4B27" w:val="clear"/>
            <w:tcMar>
              <w:top w:type="dxa" w:w="90"/>
              <w:left w:type="dxa" w:w="110"/>
              <w:bottom w:type="dxa" w:w="90"/>
              <w:right w:type="dxa" w:w="110"/>
            </w:tcMar>
            <w:vAlign w:val="center"/>
          </w:tcPr>
          <w:p>
            <w:pPr>
              <w:spacing w:after="40" w:line="250"/>
              <w:jc w:val="center"/>
            </w:pPr>
            <w:r>
              <w:rPr>
                <w:rFonts w:ascii="Calibri" w:cs="Calibri" w:eastAsia="Calibri" w:hAnsi="Calibri"/>
                <w:b/>
                <w:bCs/>
                <w:color w:val="FFFFFF"/>
                <w:sz w:val="18"/>
                <w:szCs w:val="18"/>
              </w:rPr>
              <w:t xml:space="preserve">Responsable</w:t>
            </w:r>
          </w:p>
        </w:tc>
        <w:tc>
          <w:tcPr>
            <w:tcW w:type="dxa" w:w="1600"/>
            <w:shd w:fill="7B4B27" w:val="clear"/>
            <w:tcMar>
              <w:top w:type="dxa" w:w="90"/>
              <w:left w:type="dxa" w:w="110"/>
              <w:bottom w:type="dxa" w:w="90"/>
              <w:right w:type="dxa" w:w="110"/>
            </w:tcMar>
            <w:vAlign w:val="center"/>
          </w:tcPr>
          <w:p>
            <w:pPr>
              <w:spacing w:after="40" w:line="250"/>
              <w:jc w:val="center"/>
            </w:pPr>
            <w:r>
              <w:rPr>
                <w:rFonts w:ascii="Calibri" w:cs="Calibri" w:eastAsia="Calibri" w:hAnsi="Calibri"/>
                <w:b/>
                <w:bCs/>
                <w:color w:val="FFFFFF"/>
                <w:sz w:val="18"/>
                <w:szCs w:val="18"/>
              </w:rPr>
              <w:t xml:space="preserve">% avance final</w:t>
            </w:r>
          </w:p>
        </w:tc>
      </w:tr>
      <w:tr>
        <w:tc>
          <w:tcPr>
            <w:tcW w:type="dxa" w:w="13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RF-001</w:t>
            </w:r>
          </w:p>
        </w:tc>
        <w:tc>
          <w:tcPr>
            <w:tcW w:type="dxa" w:w="47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Lenguaje de programación (Python)</w:t>
            </w:r>
          </w:p>
        </w:tc>
        <w:tc>
          <w:tcPr>
            <w:tcW w:type="dxa" w:w="22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Yilbert</w:t>
            </w:r>
          </w:p>
        </w:tc>
        <w:tc>
          <w:tcPr>
            <w:tcW w:type="dxa" w:w="1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100%</w:t>
            </w:r>
          </w:p>
        </w:tc>
      </w:tr>
      <w:tr>
        <w:tc>
          <w:tcPr>
            <w:tcW w:type="dxa" w:w="13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RF-002</w:t>
            </w:r>
          </w:p>
        </w:tc>
        <w:tc>
          <w:tcPr>
            <w:tcW w:type="dxa" w:w="47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Gestor de base de datos (MySQL)</w:t>
            </w:r>
          </w:p>
        </w:tc>
        <w:tc>
          <w:tcPr>
            <w:tcW w:type="dxa" w:w="22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Yilbert</w:t>
            </w:r>
          </w:p>
        </w:tc>
        <w:tc>
          <w:tcPr>
            <w:tcW w:type="dxa" w:w="1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100%</w:t>
            </w:r>
          </w:p>
        </w:tc>
      </w:tr>
      <w:tr>
        <w:tc>
          <w:tcPr>
            <w:tcW w:type="dxa" w:w="13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RF-003</w:t>
            </w:r>
          </w:p>
        </w:tc>
        <w:tc>
          <w:tcPr>
            <w:tcW w:type="dxa" w:w="47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Framework de desarrollo (Django)</w:t>
            </w:r>
          </w:p>
        </w:tc>
        <w:tc>
          <w:tcPr>
            <w:tcW w:type="dxa" w:w="22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Yilbert</w:t>
            </w:r>
          </w:p>
        </w:tc>
        <w:tc>
          <w:tcPr>
            <w:tcW w:type="dxa" w:w="1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100%</w:t>
            </w:r>
          </w:p>
        </w:tc>
      </w:tr>
      <w:tr>
        <w:tc>
          <w:tcPr>
            <w:tcW w:type="dxa" w:w="13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RF-004</w:t>
            </w:r>
          </w:p>
        </w:tc>
        <w:tc>
          <w:tcPr>
            <w:tcW w:type="dxa" w:w="47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Control de accesos</w:t>
            </w:r>
          </w:p>
        </w:tc>
        <w:tc>
          <w:tcPr>
            <w:tcW w:type="dxa" w:w="22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Yilbert</w:t>
            </w:r>
          </w:p>
        </w:tc>
        <w:tc>
          <w:tcPr>
            <w:tcW w:type="dxa" w:w="1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65%</w:t>
            </w:r>
          </w:p>
        </w:tc>
      </w:tr>
      <w:tr>
        <w:tc>
          <w:tcPr>
            <w:tcW w:type="dxa" w:w="13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RF-005</w:t>
            </w:r>
          </w:p>
        </w:tc>
        <w:tc>
          <w:tcPr>
            <w:tcW w:type="dxa" w:w="47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Login</w:t>
            </w:r>
          </w:p>
        </w:tc>
        <w:tc>
          <w:tcPr>
            <w:tcW w:type="dxa" w:w="22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Yilbert</w:t>
            </w:r>
          </w:p>
        </w:tc>
        <w:tc>
          <w:tcPr>
            <w:tcW w:type="dxa" w:w="1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90%</w:t>
            </w:r>
          </w:p>
        </w:tc>
      </w:tr>
      <w:tr>
        <w:tc>
          <w:tcPr>
            <w:tcW w:type="dxa" w:w="13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RF-006</w:t>
            </w:r>
          </w:p>
        </w:tc>
        <w:tc>
          <w:tcPr>
            <w:tcW w:type="dxa" w:w="47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Gestión de usuarios</w:t>
            </w:r>
          </w:p>
        </w:tc>
        <w:tc>
          <w:tcPr>
            <w:tcW w:type="dxa" w:w="22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Yilbert</w:t>
            </w:r>
          </w:p>
        </w:tc>
        <w:tc>
          <w:tcPr>
            <w:tcW w:type="dxa" w:w="1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100%</w:t>
            </w:r>
          </w:p>
        </w:tc>
      </w:tr>
      <w:tr>
        <w:tc>
          <w:tcPr>
            <w:tcW w:type="dxa" w:w="13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RF-007</w:t>
            </w:r>
          </w:p>
        </w:tc>
        <w:tc>
          <w:tcPr>
            <w:tcW w:type="dxa" w:w="47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Roles y permisos</w:t>
            </w:r>
          </w:p>
        </w:tc>
        <w:tc>
          <w:tcPr>
            <w:tcW w:type="dxa" w:w="22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Yilbert</w:t>
            </w:r>
          </w:p>
        </w:tc>
        <w:tc>
          <w:tcPr>
            <w:tcW w:type="dxa" w:w="1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100%</w:t>
            </w:r>
          </w:p>
        </w:tc>
      </w:tr>
      <w:tr>
        <w:tc>
          <w:tcPr>
            <w:tcW w:type="dxa" w:w="13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RF-008</w:t>
            </w:r>
          </w:p>
        </w:tc>
        <w:tc>
          <w:tcPr>
            <w:tcW w:type="dxa" w:w="47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Menú principal</w:t>
            </w:r>
          </w:p>
        </w:tc>
        <w:tc>
          <w:tcPr>
            <w:tcW w:type="dxa" w:w="22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Yilbert</w:t>
            </w:r>
          </w:p>
        </w:tc>
        <w:tc>
          <w:tcPr>
            <w:tcW w:type="dxa" w:w="1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85%</w:t>
            </w:r>
          </w:p>
        </w:tc>
      </w:tr>
      <w:tr>
        <w:tc>
          <w:tcPr>
            <w:tcW w:type="dxa" w:w="13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RF-009</w:t>
            </w:r>
          </w:p>
        </w:tc>
        <w:tc>
          <w:tcPr>
            <w:tcW w:type="dxa" w:w="47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Gestión de sucursales</w:t>
            </w:r>
          </w:p>
        </w:tc>
        <w:tc>
          <w:tcPr>
            <w:tcW w:type="dxa" w:w="22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Yilbert</w:t>
            </w:r>
          </w:p>
        </w:tc>
        <w:tc>
          <w:tcPr>
            <w:tcW w:type="dxa" w:w="1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100%</w:t>
            </w:r>
          </w:p>
        </w:tc>
      </w:tr>
      <w:tr>
        <w:tc>
          <w:tcPr>
            <w:tcW w:type="dxa" w:w="13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RF-010</w:t>
            </w:r>
          </w:p>
        </w:tc>
        <w:tc>
          <w:tcPr>
            <w:tcW w:type="dxa" w:w="47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Gestión de categorías</w:t>
            </w:r>
          </w:p>
        </w:tc>
        <w:tc>
          <w:tcPr>
            <w:tcW w:type="dxa" w:w="22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César</w:t>
            </w:r>
          </w:p>
        </w:tc>
        <w:tc>
          <w:tcPr>
            <w:tcW w:type="dxa" w:w="1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95%</w:t>
            </w:r>
          </w:p>
        </w:tc>
      </w:tr>
      <w:tr>
        <w:tc>
          <w:tcPr>
            <w:tcW w:type="dxa" w:w="13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RF-011</w:t>
            </w:r>
          </w:p>
        </w:tc>
        <w:tc>
          <w:tcPr>
            <w:tcW w:type="dxa" w:w="47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Gestión de productos</w:t>
            </w:r>
          </w:p>
        </w:tc>
        <w:tc>
          <w:tcPr>
            <w:tcW w:type="dxa" w:w="22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César</w:t>
            </w:r>
          </w:p>
        </w:tc>
        <w:tc>
          <w:tcPr>
            <w:tcW w:type="dxa" w:w="1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91%</w:t>
            </w:r>
          </w:p>
        </w:tc>
      </w:tr>
      <w:tr>
        <w:tc>
          <w:tcPr>
            <w:tcW w:type="dxa" w:w="13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RF-012</w:t>
            </w:r>
          </w:p>
        </w:tc>
        <w:tc>
          <w:tcPr>
            <w:tcW w:type="dxa" w:w="47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Registro de ventas</w:t>
            </w:r>
          </w:p>
        </w:tc>
        <w:tc>
          <w:tcPr>
            <w:tcW w:type="dxa" w:w="22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César</w:t>
            </w:r>
          </w:p>
        </w:tc>
        <w:tc>
          <w:tcPr>
            <w:tcW w:type="dxa" w:w="1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98%</w:t>
            </w:r>
          </w:p>
        </w:tc>
      </w:tr>
      <w:tr>
        <w:tc>
          <w:tcPr>
            <w:tcW w:type="dxa" w:w="13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RF-013</w:t>
            </w:r>
          </w:p>
        </w:tc>
        <w:tc>
          <w:tcPr>
            <w:tcW w:type="dxa" w:w="47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Métodos de pago</w:t>
            </w:r>
          </w:p>
        </w:tc>
        <w:tc>
          <w:tcPr>
            <w:tcW w:type="dxa" w:w="22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César</w:t>
            </w:r>
          </w:p>
        </w:tc>
        <w:tc>
          <w:tcPr>
            <w:tcW w:type="dxa" w:w="1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93%</w:t>
            </w:r>
          </w:p>
        </w:tc>
      </w:tr>
      <w:tr>
        <w:tc>
          <w:tcPr>
            <w:tcW w:type="dxa" w:w="13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RF-014</w:t>
            </w:r>
          </w:p>
        </w:tc>
        <w:tc>
          <w:tcPr>
            <w:tcW w:type="dxa" w:w="47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Apertura de caja</w:t>
            </w:r>
          </w:p>
        </w:tc>
        <w:tc>
          <w:tcPr>
            <w:tcW w:type="dxa" w:w="22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César</w:t>
            </w:r>
          </w:p>
        </w:tc>
        <w:tc>
          <w:tcPr>
            <w:tcW w:type="dxa" w:w="1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92%</w:t>
            </w:r>
          </w:p>
        </w:tc>
      </w:tr>
      <w:tr>
        <w:tc>
          <w:tcPr>
            <w:tcW w:type="dxa" w:w="13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RF-015</w:t>
            </w:r>
          </w:p>
        </w:tc>
        <w:tc>
          <w:tcPr>
            <w:tcW w:type="dxa" w:w="47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Cierre de caja</w:t>
            </w:r>
          </w:p>
        </w:tc>
        <w:tc>
          <w:tcPr>
            <w:tcW w:type="dxa" w:w="22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César</w:t>
            </w:r>
          </w:p>
        </w:tc>
        <w:tc>
          <w:tcPr>
            <w:tcW w:type="dxa" w:w="1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92%</w:t>
            </w:r>
          </w:p>
        </w:tc>
      </w:tr>
      <w:tr>
        <w:tc>
          <w:tcPr>
            <w:tcW w:type="dxa" w:w="13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RF-016</w:t>
            </w:r>
          </w:p>
        </w:tc>
        <w:tc>
          <w:tcPr>
            <w:tcW w:type="dxa" w:w="47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Control de inventario</w:t>
            </w:r>
          </w:p>
        </w:tc>
        <w:tc>
          <w:tcPr>
            <w:tcW w:type="dxa" w:w="22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César / Yilbert</w:t>
            </w:r>
          </w:p>
        </w:tc>
        <w:tc>
          <w:tcPr>
            <w:tcW w:type="dxa" w:w="1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99%</w:t>
            </w:r>
          </w:p>
        </w:tc>
      </w:tr>
      <w:tr>
        <w:tc>
          <w:tcPr>
            <w:tcW w:type="dxa" w:w="13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RF-017</w:t>
            </w:r>
          </w:p>
        </w:tc>
        <w:tc>
          <w:tcPr>
            <w:tcW w:type="dxa" w:w="47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Registro de mermas</w:t>
            </w:r>
          </w:p>
        </w:tc>
        <w:tc>
          <w:tcPr>
            <w:tcW w:type="dxa" w:w="22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César</w:t>
            </w:r>
          </w:p>
        </w:tc>
        <w:tc>
          <w:tcPr>
            <w:tcW w:type="dxa" w:w="1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92%</w:t>
            </w:r>
          </w:p>
        </w:tc>
      </w:tr>
      <w:tr>
        <w:tc>
          <w:tcPr>
            <w:tcW w:type="dxa" w:w="13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RF-018</w:t>
            </w:r>
          </w:p>
        </w:tc>
        <w:tc>
          <w:tcPr>
            <w:tcW w:type="dxa" w:w="47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Anulación y ajustes</w:t>
            </w:r>
          </w:p>
        </w:tc>
        <w:tc>
          <w:tcPr>
            <w:tcW w:type="dxa" w:w="22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César</w:t>
            </w:r>
          </w:p>
        </w:tc>
        <w:tc>
          <w:tcPr>
            <w:tcW w:type="dxa" w:w="1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92%</w:t>
            </w:r>
          </w:p>
        </w:tc>
      </w:tr>
      <w:tr>
        <w:tc>
          <w:tcPr>
            <w:tcW w:type="dxa" w:w="13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RF-019</w:t>
            </w:r>
          </w:p>
        </w:tc>
        <w:tc>
          <w:tcPr>
            <w:tcW w:type="dxa" w:w="47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Reportes operativos</w:t>
            </w:r>
          </w:p>
        </w:tc>
        <w:tc>
          <w:tcPr>
            <w:tcW w:type="dxa" w:w="22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Yilbert</w:t>
            </w:r>
          </w:p>
        </w:tc>
        <w:tc>
          <w:tcPr>
            <w:tcW w:type="dxa" w:w="1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80%</w:t>
            </w:r>
          </w:p>
        </w:tc>
      </w:tr>
      <w:tr>
        <w:tc>
          <w:tcPr>
            <w:tcW w:type="dxa" w:w="13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RF-020</w:t>
            </w:r>
          </w:p>
        </w:tc>
        <w:tc>
          <w:tcPr>
            <w:tcW w:type="dxa" w:w="47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Dashboard gerencial</w:t>
            </w:r>
          </w:p>
        </w:tc>
        <w:tc>
          <w:tcPr>
            <w:tcW w:type="dxa" w:w="22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Yilbert</w:t>
            </w:r>
          </w:p>
        </w:tc>
        <w:tc>
          <w:tcPr>
            <w:tcW w:type="dxa" w:w="1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85%</w:t>
            </w:r>
          </w:p>
        </w:tc>
      </w:tr>
      <w:tr>
        <w:tc>
          <w:tcPr>
            <w:tcW w:type="dxa" w:w="13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RF-021</w:t>
            </w:r>
          </w:p>
        </w:tc>
        <w:tc>
          <w:tcPr>
            <w:tcW w:type="dxa" w:w="47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Bitácora de ingresos</w:t>
            </w:r>
          </w:p>
        </w:tc>
        <w:tc>
          <w:tcPr>
            <w:tcW w:type="dxa" w:w="22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Yilbert</w:t>
            </w:r>
          </w:p>
        </w:tc>
        <w:tc>
          <w:tcPr>
            <w:tcW w:type="dxa" w:w="1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90%</w:t>
            </w:r>
          </w:p>
        </w:tc>
      </w:tr>
      <w:tr>
        <w:tc>
          <w:tcPr>
            <w:tcW w:type="dxa" w:w="13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RF-022</w:t>
            </w:r>
          </w:p>
        </w:tc>
        <w:tc>
          <w:tcPr>
            <w:tcW w:type="dxa" w:w="47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Bitácora de movimientos</w:t>
            </w:r>
          </w:p>
        </w:tc>
        <w:tc>
          <w:tcPr>
            <w:tcW w:type="dxa" w:w="22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Yilbert</w:t>
            </w:r>
          </w:p>
        </w:tc>
        <w:tc>
          <w:tcPr>
            <w:tcW w:type="dxa" w:w="1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90%</w:t>
            </w:r>
          </w:p>
        </w:tc>
      </w:tr>
      <w:tr>
        <w:tc>
          <w:tcPr>
            <w:tcW w:type="dxa" w:w="13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RF-023</w:t>
            </w:r>
          </w:p>
        </w:tc>
        <w:tc>
          <w:tcPr>
            <w:tcW w:type="dxa" w:w="47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Vinculación con Google</w:t>
            </w:r>
          </w:p>
        </w:tc>
        <w:tc>
          <w:tcPr>
            <w:tcW w:type="dxa" w:w="22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Yilbert</w:t>
            </w:r>
          </w:p>
        </w:tc>
        <w:tc>
          <w:tcPr>
            <w:tcW w:type="dxa" w:w="1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55%</w:t>
            </w:r>
          </w:p>
        </w:tc>
      </w:tr>
      <w:tr>
        <w:tc>
          <w:tcPr>
            <w:tcW w:type="dxa" w:w="13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RF-024</w:t>
            </w:r>
          </w:p>
        </w:tc>
        <w:tc>
          <w:tcPr>
            <w:tcW w:type="dxa" w:w="47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Configuración tributaria</w:t>
            </w:r>
          </w:p>
        </w:tc>
        <w:tc>
          <w:tcPr>
            <w:tcW w:type="dxa" w:w="22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Yilbert</w:t>
            </w:r>
          </w:p>
        </w:tc>
        <w:tc>
          <w:tcPr>
            <w:tcW w:type="dxa" w:w="1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80%</w:t>
            </w:r>
          </w:p>
        </w:tc>
      </w:tr>
      <w:tr>
        <w:tc>
          <w:tcPr>
            <w:tcW w:type="dxa" w:w="13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RF-025</w:t>
            </w:r>
          </w:p>
        </w:tc>
        <w:tc>
          <w:tcPr>
            <w:tcW w:type="dxa" w:w="47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Reporte tributario mensual</w:t>
            </w:r>
          </w:p>
        </w:tc>
        <w:tc>
          <w:tcPr>
            <w:tcW w:type="dxa" w:w="22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Yilbert</w:t>
            </w:r>
          </w:p>
        </w:tc>
        <w:tc>
          <w:tcPr>
            <w:tcW w:type="dxa" w:w="1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85%</w:t>
            </w:r>
          </w:p>
        </w:tc>
      </w:tr>
      <w:tr>
        <w:tc>
          <w:tcPr>
            <w:tcW w:type="dxa" w:w="13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RF-026</w:t>
            </w:r>
          </w:p>
        </w:tc>
        <w:tc>
          <w:tcPr>
            <w:tcW w:type="dxa" w:w="47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Gastos operativos</w:t>
            </w:r>
          </w:p>
        </w:tc>
        <w:tc>
          <w:tcPr>
            <w:tcW w:type="dxa" w:w="22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César</w:t>
            </w:r>
          </w:p>
        </w:tc>
        <w:tc>
          <w:tcPr>
            <w:tcW w:type="dxa" w:w="1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96%</w:t>
            </w:r>
          </w:p>
        </w:tc>
      </w:tr>
      <w:tr>
        <w:tc>
          <w:tcPr>
            <w:tcW w:type="dxa" w:w="13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RF-027</w:t>
            </w:r>
          </w:p>
        </w:tc>
        <w:tc>
          <w:tcPr>
            <w:tcW w:type="dxa" w:w="47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Reporte de utilidad estimada</w:t>
            </w:r>
          </w:p>
        </w:tc>
        <w:tc>
          <w:tcPr>
            <w:tcW w:type="dxa" w:w="22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Yilbert</w:t>
            </w:r>
          </w:p>
        </w:tc>
        <w:tc>
          <w:tcPr>
            <w:tcW w:type="dxa" w:w="1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85%</w:t>
            </w:r>
          </w:p>
        </w:tc>
      </w:tr>
      <w:tr>
        <w:tc>
          <w:tcPr>
            <w:tcW w:type="dxa" w:w="13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RF-028</w:t>
            </w:r>
          </w:p>
        </w:tc>
        <w:tc>
          <w:tcPr>
            <w:tcW w:type="dxa" w:w="47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Entrada de inventario</w:t>
            </w:r>
          </w:p>
        </w:tc>
        <w:tc>
          <w:tcPr>
            <w:tcW w:type="dxa" w:w="22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Yilbert (apoyo)</w:t>
            </w:r>
          </w:p>
        </w:tc>
        <w:tc>
          <w:tcPr>
            <w:tcW w:type="dxa" w:w="1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85%</w:t>
            </w:r>
          </w:p>
        </w:tc>
      </w:tr>
      <w:tr>
        <w:tc>
          <w:tcPr>
            <w:tcW w:type="dxa" w:w="13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RF-029</w:t>
            </w:r>
          </w:p>
        </w:tc>
        <w:tc>
          <w:tcPr>
            <w:tcW w:type="dxa" w:w="47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Gestión de clientes</w:t>
            </w:r>
          </w:p>
        </w:tc>
        <w:tc>
          <w:tcPr>
            <w:tcW w:type="dxa" w:w="22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César</w:t>
            </w:r>
          </w:p>
        </w:tc>
        <w:tc>
          <w:tcPr>
            <w:tcW w:type="dxa" w:w="1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100%</w:t>
            </w:r>
          </w:p>
        </w:tc>
      </w:tr>
      <w:tr>
        <w:tc>
          <w:tcPr>
            <w:tcW w:type="dxa" w:w="13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RF-030</w:t>
            </w:r>
          </w:p>
        </w:tc>
        <w:tc>
          <w:tcPr>
            <w:tcW w:type="dxa" w:w="47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Registro de compras</w:t>
            </w:r>
          </w:p>
        </w:tc>
        <w:tc>
          <w:tcPr>
            <w:tcW w:type="dxa" w:w="22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César</w:t>
            </w:r>
          </w:p>
        </w:tc>
        <w:tc>
          <w:tcPr>
            <w:tcW w:type="dxa" w:w="1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95%</w:t>
            </w:r>
          </w:p>
        </w:tc>
      </w:tr>
      <w:tr>
        <w:tc>
          <w:tcPr>
            <w:tcW w:type="dxa" w:w="13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RF-031</w:t>
            </w:r>
          </w:p>
        </w:tc>
        <w:tc>
          <w:tcPr>
            <w:tcW w:type="dxa" w:w="47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Ayuda contextual</w:t>
            </w:r>
          </w:p>
        </w:tc>
        <w:tc>
          <w:tcPr>
            <w:tcW w:type="dxa" w:w="22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Yilbert</w:t>
            </w:r>
          </w:p>
        </w:tc>
        <w:tc>
          <w:tcPr>
            <w:tcW w:type="dxa" w:w="1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85%</w:t>
            </w:r>
          </w:p>
        </w:tc>
      </w:tr>
      <w:tr>
        <w:tc>
          <w:tcPr>
            <w:tcW w:type="dxa" w:w="13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RF-032</w:t>
            </w:r>
          </w:p>
        </w:tc>
        <w:tc>
          <w:tcPr>
            <w:tcW w:type="dxa" w:w="47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Administración de ayudas</w:t>
            </w:r>
          </w:p>
        </w:tc>
        <w:tc>
          <w:tcPr>
            <w:tcW w:type="dxa" w:w="22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Yilbert</w:t>
            </w:r>
          </w:p>
        </w:tc>
        <w:tc>
          <w:tcPr>
            <w:tcW w:type="dxa" w:w="1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70%</w:t>
            </w:r>
          </w:p>
        </w:tc>
      </w:tr>
      <w:tr>
        <w:tc>
          <w:tcPr>
            <w:tcW w:type="dxa" w:w="13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RF-033</w:t>
            </w:r>
          </w:p>
        </w:tc>
        <w:tc>
          <w:tcPr>
            <w:tcW w:type="dxa" w:w="47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Acerca de</w:t>
            </w:r>
          </w:p>
        </w:tc>
        <w:tc>
          <w:tcPr>
            <w:tcW w:type="dxa" w:w="22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Yilbert</w:t>
            </w:r>
          </w:p>
        </w:tc>
        <w:tc>
          <w:tcPr>
            <w:tcW w:type="dxa" w:w="1600"/>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95%</w:t>
            </w:r>
          </w:p>
        </w:tc>
      </w:tr>
      <w:tr>
        <w:tc>
          <w:tcPr>
            <w:tcW w:type="dxa" w:w="13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RF-034</w:t>
            </w:r>
          </w:p>
        </w:tc>
        <w:tc>
          <w:tcPr>
            <w:tcW w:type="dxa" w:w="47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Cambio de usuario</w:t>
            </w:r>
          </w:p>
        </w:tc>
        <w:tc>
          <w:tcPr>
            <w:tcW w:type="dxa" w:w="22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César / Yilbert</w:t>
            </w:r>
          </w:p>
        </w:tc>
        <w:tc>
          <w:tcPr>
            <w:tcW w:type="dxa" w:w="1600"/>
            <w:shd w:fill="F7ECDD" w:val="clear"/>
            <w:tcMar>
              <w:top w:type="dxa" w:w="90"/>
              <w:left w:type="dxa" w:w="110"/>
              <w:bottom w:type="dxa" w:w="90"/>
              <w:right w:type="dxa" w:w="110"/>
            </w:tcMar>
            <w:vAlign w:val="center"/>
          </w:tcPr>
          <w:p>
            <w:pPr>
              <w:spacing w:after="40" w:line="250"/>
              <w:jc w:val="left"/>
            </w:pPr>
            <w:r>
              <w:rPr>
                <w:rFonts w:ascii="Calibri" w:cs="Calibri" w:eastAsia="Calibri" w:hAnsi="Calibri"/>
                <w:b w:val="false"/>
                <w:bCs w:val="false"/>
                <w:color w:val="2B2118"/>
                <w:sz w:val="18"/>
                <w:szCs w:val="18"/>
              </w:rPr>
              <w:t xml:space="preserve">90%</w:t>
            </w:r>
          </w:p>
        </w:tc>
      </w:tr>
    </w:tbl>
    <w:p>
      <w:pPr>
        <w:pStyle w:val="Heading1"/>
        <w:pBdr>
          <w:bottom w:val="single" w:color="D97B29" w:sz="12" w:space="6"/>
        </w:pBdr>
        <w:spacing w:after="220" w:before="420"/>
      </w:pPr>
      <w:r>
        <w:rPr>
          <w:rFonts w:ascii="Georgia" w:cs="Georgia" w:eastAsia="Georgia" w:hAnsi="Georgia"/>
          <w:b/>
          <w:bCs/>
          <w:color w:val="4A2E1E"/>
          <w:sz w:val="30"/>
          <w:szCs w:val="30"/>
        </w:rPr>
        <w:t xml:space="preserve">6. Cierre</w:t>
      </w:r>
    </w:p>
    <w:p>
      <w:pPr>
        <w:spacing w:after="120" w:before="0" w:line="276"/>
        <w:jc w:val="left"/>
      </w:pPr>
      <w:r>
        <w:rPr>
          <w:rFonts w:ascii="Calibri" w:cs="Calibri" w:eastAsia="Calibri" w:hAnsi="Calibri"/>
          <w:b w:val="false"/>
          <w:bCs w:val="false"/>
          <w:i w:val="false"/>
          <w:iCs w:val="false"/>
          <w:color w:val="2B2118"/>
          <w:sz w:val="21"/>
          <w:szCs w:val="21"/>
        </w:rPr>
        <w:t xml:space="preserve">Esta bitácora deja constancia de que la documentación de entregables (Entregable #4 en particular, en lo referente a estructura de base de datos y diccionario de datos) quedó desactualizada frente al código y la base de datos reales en varios puntos concretos a lo largo del desarrollo: el esquema documentado pasó de 26 a 44 tablas, tres módulos completos (Mermas, Ajustes de Inventario y Gastos Operativos) se construyeron sobre tablas que ya existían en la BD pero sin ningún código de aplicación hasta la primera semana de agosto, y el módulo de Ventas tuvo que rediseñarse de formsets a un flujo JSON/AJAX después de que el mecanismo original demostrara ser irreparable en producción.</w:t>
      </w:r>
    </w:p>
    <w:p>
      <w:pPr>
        <w:spacing w:after="120" w:before="0" w:line="276"/>
        <w:jc w:val="left"/>
      </w:pPr>
      <w:r>
        <w:rPr>
          <w:rFonts w:ascii="Calibri" w:cs="Calibri" w:eastAsia="Calibri" w:hAnsi="Calibri"/>
          <w:b w:val="false"/>
          <w:bCs w:val="false"/>
          <w:i w:val="false"/>
          <w:iCs w:val="false"/>
          <w:color w:val="2B2118"/>
          <w:sz w:val="21"/>
          <w:szCs w:val="21"/>
        </w:rPr>
        <w:t xml:space="preserve">El patrón que se repite en casi todos los cambios documentados aquí — bug encontrado en pruebas reales, corregido el mismo día, y el mismo tipo de defecto buscado activamente en el resto del sistema (zona horaria en 6 archivos, bloques {% block extra_js %} rotos en 5 templates, mutación vía GET sin CSRF en 3 módulos) — refleja la metodología de cierre del proyecto: no conformarse con arreglar el síntoma reportado, sino auditar si el mismo defecto de diseño se había repetido en otro lugar del código.</w:t>
      </w:r>
    </w:p>
    <w:p>
      <w:pPr>
        <w:spacing w:after="120" w:before="0" w:line="276"/>
        <w:jc w:val="left"/>
      </w:pPr>
      <w:r>
        <w:rPr>
          <w:rFonts w:ascii="Calibri" w:cs="Calibri" w:eastAsia="Calibri" w:hAnsi="Calibri"/>
          <w:b w:val="false"/>
          <w:bCs w:val="false"/>
          <w:i w:val="false"/>
          <w:iCs w:val="false"/>
          <w:color w:val="2B2118"/>
          <w:sz w:val="21"/>
          <w:szCs w:val="21"/>
        </w:rPr>
        <w:t xml:space="preserve">Se recomienda, como trabajo futuro inmediato tras la entrega académica, cerrar la deuda técnica transversal que el checklist deja documentada explícitamente: migrar Producto/Categoria/Proveedor a BaseModel, completar los archivos tests.py que hoy están vacíos en la mayoría de apps, y decidir formalmente el destino de HistorialPrecio (documentado en el Entregable #4 pero nunca implementado).</w:t>
      </w:r>
    </w:p>
    <w:p>
      <w:pPr>
        <w:spacing w:before="500"/>
      </w:pPr>
    </w:p>
    <w:p>
      <w:pPr>
        <w:spacing w:after="120" w:before="0" w:line="276"/>
        <w:jc w:val="center"/>
      </w:pPr>
      <w:r>
        <w:rPr>
          <w:rFonts w:ascii="Calibri" w:cs="Calibri" w:eastAsia="Calibri" w:hAnsi="Calibri"/>
          <w:b/>
          <w:bCs/>
          <w:i w:val="false"/>
          <w:iCs w:val="false"/>
          <w:color w:val="4A2E1E"/>
          <w:sz w:val="22"/>
          <w:szCs w:val="22"/>
        </w:rPr>
        <w:t xml:space="preserve">Y&amp;C Systems — César Campos y Yilbert Fernández</w:t>
      </w:r>
    </w:p>
    <w:p>
      <w:pPr>
        <w:spacing w:after="120" w:before="0" w:line="276"/>
        <w:jc w:val="center"/>
      </w:pPr>
      <w:r>
        <w:rPr>
          <w:rFonts w:ascii="Calibri" w:cs="Calibri" w:eastAsia="Calibri" w:hAnsi="Calibri"/>
          <w:b w:val="false"/>
          <w:bCs w:val="false"/>
          <w:i/>
          <w:iCs/>
          <w:color w:val="4A4038"/>
          <w:sz w:val="19"/>
          <w:szCs w:val="19"/>
        </w:rPr>
        <w:t xml:space="preserve">Proyecto Profesional Informático · Universidad Tecnológica Costarricense · 11 de agosto de 2026</w:t>
      </w:r>
    </w:p>
    <w:sectPr>
      <w:headerReference w:type="default" r:id="rId7"/>
      <w:footerReference w:type="default" r:id="rId8"/>
      <w:pgSz w:w="12240" w:h="15840"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038"/>
        <w:sz w:val="16"/>
        <w:szCs w:val="16"/>
      </w:rPr>
      <w:t xml:space="preserve">Página </w:t>
    </w:r>
    <w:r>
      <w:rPr>
        <w:color w:val="4A4038"/>
        <w:sz w:val="16"/>
        <w:szCs w:val="16"/>
      </w:rPr>
      <w:fldChar w:fldCharType="begin"/>
      <w:instrText xml:space="preserve">PAGE</w:instrText>
      <w:fldChar w:fldCharType="separate"/>
      <w:fldChar w:fldCharType="end"/>
    </w:r>
    <w:r>
      <w:rPr>
        <w:color w:val="4A4038"/>
        <w:sz w:val="16"/>
        <w:szCs w:val="16"/>
      </w:rPr>
      <w:t xml:space="preserve"> de </w:t>
    </w:r>
    <w:r>
      <w:rPr>
        <w:color w:val="4A403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59" w:sz="6" w:space="4"/>
      </w:pBdr>
      <w:tabs>
        <w:tab w:val="right" w:pos="9026"/>
      </w:tabs>
    </w:pPr>
    <w:r>
      <w:rPr>
        <w:rFonts w:ascii="Calibri" w:cs="Calibri" w:eastAsia="Calibri" w:hAnsi="Calibri"/>
        <w:b/>
        <w:bCs/>
        <w:color w:val="7B4B27"/>
        <w:sz w:val="16"/>
        <w:szCs w:val="16"/>
      </w:rPr>
      <w:t xml:space="preserve">SIGEPAN — Bitácora de Cambios</w:t>
    </w:r>
    <w:r>
      <w:rPr>
        <w:rFonts w:ascii="Calibri" w:cs="Calibri" w:eastAsia="Calibri" w:hAnsi="Calibri"/>
        <w:color w:val="D97B29"/>
        <w:sz w:val="16"/>
        <w:szCs w:val="16"/>
      </w:rPr>
      <w:t xml:space="preserve">	Y&amp;C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1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2026-08-11T07:19:48.238Z</dcterms:created>
  <dcterms:modified xsi:type="dcterms:W3CDTF">2026-08-11T07:19:48.238Z</dcterms:modified>
</cp:coreProperties>
</file>

<file path=docProps/custom.xml><?xml version="1.0" encoding="utf-8"?>
<Properties xmlns="http://schemas.openxmlformats.org/officeDocument/2006/custom-properties" xmlns:vt="http://schemas.openxmlformats.org/officeDocument/2006/docPropsVTypes"/>
</file>