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23.03.2026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14:30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F.8.7.2.2. Topraklamayı açıklar. Topraklamanın günlük yaşam ve teknolojideki uygulamaları dikkate alınarak can ve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Başlık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İçerik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Değerler Eğitimi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 derste ele alınan değer: ___________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Maarif Vizyonu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Öğrencinin gelişimine katkı: ___________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Uygulama Notu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Maarif müfredatı gerekliliklerine uygun ek etkinlik planlanmıştır.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